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0F50C" w14:textId="77777777" w:rsidR="006021A1" w:rsidRDefault="006021A1" w:rsidP="006021A1">
      <w:r w:rsidRPr="00CA4815">
        <w:rPr>
          <w:b/>
          <w:bCs/>
          <w:noProof/>
        </w:rPr>
        <w:drawing>
          <wp:anchor distT="0" distB="0" distL="114300" distR="114300" simplePos="0" relativeHeight="251678720" behindDoc="1" locked="1" layoutInCell="1" allowOverlap="1" wp14:anchorId="1075A195" wp14:editId="0BC49667">
            <wp:simplePos x="0" y="0"/>
            <wp:positionH relativeFrom="column">
              <wp:posOffset>-914400</wp:posOffset>
            </wp:positionH>
            <wp:positionV relativeFrom="paragraph">
              <wp:posOffset>-1151890</wp:posOffset>
            </wp:positionV>
            <wp:extent cx="7542000" cy="1066680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CAB145" wp14:editId="6DFF569A">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69172" cy="554400"/>
                    </a:xfrm>
                    <a:prstGeom prst="rect">
                      <a:avLst/>
                    </a:prstGeom>
                  </pic:spPr>
                </pic:pic>
              </a:graphicData>
            </a:graphic>
          </wp:inline>
        </w:drawing>
      </w:r>
    </w:p>
    <w:bookmarkStart w:id="0" w:name="_Toc197599233" w:displacedByCustomXml="next"/>
    <w:bookmarkStart w:id="1" w:name="_Toc126923157" w:displacedByCustomXml="next"/>
    <w:bookmarkStart w:id="2" w:name="_Toc126923146" w:displacedByCustomXml="next"/>
    <w:sdt>
      <w:sdtPr>
        <w:rPr>
          <w:rFonts w:ascii="Calibri" w:eastAsiaTheme="minorHAnsi" w:hAnsi="Calibri" w:cs="Calibri"/>
          <w:b/>
          <w:bCs/>
          <w:sz w:val="84"/>
          <w:szCs w:val="84"/>
        </w:rPr>
        <w:alias w:val="Title"/>
        <w:tag w:val=""/>
        <w:id w:val="1478495247"/>
        <w:placeholder>
          <w:docPart w:val="E7844544B22F42B6A4D8E1DF974CD2CB"/>
        </w:placeholder>
        <w:dataBinding w:prefixMappings="xmlns:ns0='http://purl.org/dc/elements/1.1/' xmlns:ns1='http://schemas.openxmlformats.org/package/2006/metadata/core-properties' " w:xpath="/ns1:coreProperties[1]/ns0:title[1]" w:storeItemID="{6C3C8BC8-F283-45AE-878A-BAB7291924A1}"/>
        <w:text/>
      </w:sdtPr>
      <w:sdtEndPr/>
      <w:sdtContent>
        <w:p w14:paraId="7B9A59D9" w14:textId="7CE30E52" w:rsidR="006021A1" w:rsidRDefault="006021A1" w:rsidP="006021A1">
          <w:pPr>
            <w:pStyle w:val="Heading1"/>
          </w:pPr>
          <w:r w:rsidRPr="006021A1">
            <w:rPr>
              <w:rFonts w:ascii="Calibri" w:eastAsiaTheme="minorHAnsi" w:hAnsi="Calibri" w:cs="Calibri"/>
              <w:b/>
              <w:bCs/>
              <w:sz w:val="84"/>
              <w:szCs w:val="84"/>
            </w:rPr>
            <w:t>Expected Trends Dashboard User Guide</w:t>
          </w:r>
        </w:p>
      </w:sdtContent>
    </w:sdt>
    <w:bookmarkEnd w:id="0" w:displacedByCustomXml="prev"/>
    <w:bookmarkEnd w:id="1" w:displacedByCustomXml="prev"/>
    <w:bookmarkEnd w:id="2" w:displacedByCustomXml="prev"/>
    <w:p w14:paraId="3842C8F1" w14:textId="77777777" w:rsidR="006021A1" w:rsidRDefault="006021A1" w:rsidP="006021A1"/>
    <w:p w14:paraId="72BAB018" w14:textId="77777777" w:rsidR="006021A1" w:rsidRDefault="006021A1">
      <w:pPr>
        <w:rPr>
          <w:rFonts w:asciiTheme="majorHAnsi" w:eastAsiaTheme="majorEastAsia" w:hAnsiTheme="majorHAnsi" w:cstheme="majorBidi"/>
          <w:color w:val="0F4761" w:themeColor="accent1" w:themeShade="BF"/>
          <w:sz w:val="32"/>
          <w:szCs w:val="32"/>
        </w:rPr>
      </w:pPr>
      <w:r>
        <w:br w:type="page"/>
      </w:r>
    </w:p>
    <w:sdt>
      <w:sdtPr>
        <w:rPr>
          <w:rFonts w:asciiTheme="minorHAnsi" w:eastAsiaTheme="minorHAnsi" w:hAnsiTheme="minorHAnsi" w:cstheme="minorBidi"/>
          <w:color w:val="auto"/>
          <w:kern w:val="2"/>
          <w:sz w:val="22"/>
          <w:szCs w:val="22"/>
          <w:lang w:val="en-AU"/>
          <w14:ligatures w14:val="standardContextual"/>
        </w:rPr>
        <w:id w:val="1509941669"/>
        <w:docPartObj>
          <w:docPartGallery w:val="Table of Contents"/>
          <w:docPartUnique/>
        </w:docPartObj>
      </w:sdtPr>
      <w:sdtEndPr>
        <w:rPr>
          <w:b/>
          <w:bCs/>
          <w:noProof/>
        </w:rPr>
      </w:sdtEndPr>
      <w:sdtContent>
        <w:p w14:paraId="3AAD6CB6" w14:textId="32EC442B" w:rsidR="00805A4F" w:rsidRDefault="00805A4F">
          <w:pPr>
            <w:pStyle w:val="TOCHeading"/>
          </w:pPr>
          <w:r>
            <w:t>Contents</w:t>
          </w:r>
        </w:p>
        <w:p w14:paraId="561986D6" w14:textId="7D96444E" w:rsidR="00414ABF" w:rsidRDefault="00805A4F">
          <w:pPr>
            <w:pStyle w:val="TOC1"/>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97599233" w:history="1"/>
        </w:p>
        <w:p w14:paraId="2C56B036" w14:textId="16BD33B7" w:rsidR="00414ABF" w:rsidRDefault="00414ABF">
          <w:pPr>
            <w:pStyle w:val="TOC3"/>
            <w:tabs>
              <w:tab w:val="left" w:pos="960"/>
              <w:tab w:val="right" w:leader="dot" w:pos="9016"/>
            </w:tabs>
            <w:rPr>
              <w:rFonts w:eastAsiaTheme="minorEastAsia"/>
              <w:noProof/>
              <w:sz w:val="24"/>
              <w:szCs w:val="24"/>
              <w:lang w:eastAsia="en-AU"/>
            </w:rPr>
          </w:pPr>
          <w:hyperlink w:anchor="_Toc197599234" w:history="1">
            <w:r w:rsidRPr="00CB0864">
              <w:rPr>
                <w:rStyle w:val="Hyperlink"/>
                <w:noProof/>
              </w:rPr>
              <w:t>1.</w:t>
            </w:r>
            <w:r>
              <w:rPr>
                <w:rFonts w:eastAsiaTheme="minorEastAsia"/>
                <w:noProof/>
                <w:sz w:val="24"/>
                <w:szCs w:val="24"/>
                <w:lang w:eastAsia="en-AU"/>
              </w:rPr>
              <w:tab/>
            </w:r>
            <w:r w:rsidRPr="00CB0864">
              <w:rPr>
                <w:rStyle w:val="Hyperlink"/>
                <w:noProof/>
              </w:rPr>
              <w:t>Overview</w:t>
            </w:r>
            <w:r>
              <w:rPr>
                <w:noProof/>
                <w:webHidden/>
              </w:rPr>
              <w:tab/>
            </w:r>
            <w:r>
              <w:rPr>
                <w:noProof/>
                <w:webHidden/>
              </w:rPr>
              <w:fldChar w:fldCharType="begin"/>
            </w:r>
            <w:r>
              <w:rPr>
                <w:noProof/>
                <w:webHidden/>
              </w:rPr>
              <w:instrText xml:space="preserve"> PAGEREF _Toc197599234 \h </w:instrText>
            </w:r>
            <w:r>
              <w:rPr>
                <w:noProof/>
                <w:webHidden/>
              </w:rPr>
            </w:r>
            <w:r>
              <w:rPr>
                <w:noProof/>
                <w:webHidden/>
              </w:rPr>
              <w:fldChar w:fldCharType="separate"/>
            </w:r>
            <w:r>
              <w:rPr>
                <w:noProof/>
                <w:webHidden/>
              </w:rPr>
              <w:t>3</w:t>
            </w:r>
            <w:r>
              <w:rPr>
                <w:noProof/>
                <w:webHidden/>
              </w:rPr>
              <w:fldChar w:fldCharType="end"/>
            </w:r>
          </w:hyperlink>
        </w:p>
        <w:p w14:paraId="14B2D3BF" w14:textId="3F476E3B" w:rsidR="00414ABF" w:rsidRDefault="00414ABF">
          <w:pPr>
            <w:pStyle w:val="TOC3"/>
            <w:tabs>
              <w:tab w:val="left" w:pos="960"/>
              <w:tab w:val="right" w:leader="dot" w:pos="9016"/>
            </w:tabs>
            <w:rPr>
              <w:rFonts w:eastAsiaTheme="minorEastAsia"/>
              <w:noProof/>
              <w:sz w:val="24"/>
              <w:szCs w:val="24"/>
              <w:lang w:eastAsia="en-AU"/>
            </w:rPr>
          </w:pPr>
          <w:hyperlink w:anchor="_Toc197599235" w:history="1">
            <w:r w:rsidRPr="00CB0864">
              <w:rPr>
                <w:rStyle w:val="Hyperlink"/>
                <w:noProof/>
              </w:rPr>
              <w:t>2.</w:t>
            </w:r>
            <w:r>
              <w:rPr>
                <w:rFonts w:eastAsiaTheme="minorEastAsia"/>
                <w:noProof/>
                <w:sz w:val="24"/>
                <w:szCs w:val="24"/>
                <w:lang w:eastAsia="en-AU"/>
              </w:rPr>
              <w:tab/>
            </w:r>
            <w:r w:rsidRPr="00CB0864">
              <w:rPr>
                <w:rStyle w:val="Hyperlink"/>
                <w:noProof/>
              </w:rPr>
              <w:t>Accessing the Dashboard</w:t>
            </w:r>
            <w:r>
              <w:rPr>
                <w:noProof/>
                <w:webHidden/>
              </w:rPr>
              <w:tab/>
            </w:r>
            <w:r>
              <w:rPr>
                <w:noProof/>
                <w:webHidden/>
              </w:rPr>
              <w:fldChar w:fldCharType="begin"/>
            </w:r>
            <w:r>
              <w:rPr>
                <w:noProof/>
                <w:webHidden/>
              </w:rPr>
              <w:instrText xml:space="preserve"> PAGEREF _Toc197599235 \h </w:instrText>
            </w:r>
            <w:r>
              <w:rPr>
                <w:noProof/>
                <w:webHidden/>
              </w:rPr>
            </w:r>
            <w:r>
              <w:rPr>
                <w:noProof/>
                <w:webHidden/>
              </w:rPr>
              <w:fldChar w:fldCharType="separate"/>
            </w:r>
            <w:r>
              <w:rPr>
                <w:noProof/>
                <w:webHidden/>
              </w:rPr>
              <w:t>4</w:t>
            </w:r>
            <w:r>
              <w:rPr>
                <w:noProof/>
                <w:webHidden/>
              </w:rPr>
              <w:fldChar w:fldCharType="end"/>
            </w:r>
          </w:hyperlink>
        </w:p>
        <w:p w14:paraId="2B720ED8" w14:textId="0A9DBD86" w:rsidR="00414ABF" w:rsidRDefault="00414ABF">
          <w:pPr>
            <w:pStyle w:val="TOC3"/>
            <w:tabs>
              <w:tab w:val="left" w:pos="960"/>
              <w:tab w:val="right" w:leader="dot" w:pos="9016"/>
            </w:tabs>
            <w:rPr>
              <w:rFonts w:eastAsiaTheme="minorEastAsia"/>
              <w:noProof/>
              <w:sz w:val="24"/>
              <w:szCs w:val="24"/>
              <w:lang w:eastAsia="en-AU"/>
            </w:rPr>
          </w:pPr>
          <w:hyperlink w:anchor="_Toc197599236" w:history="1">
            <w:r w:rsidRPr="00CB0864">
              <w:rPr>
                <w:rStyle w:val="Hyperlink"/>
                <w:noProof/>
              </w:rPr>
              <w:t>3.</w:t>
            </w:r>
            <w:r>
              <w:rPr>
                <w:rFonts w:eastAsiaTheme="minorEastAsia"/>
                <w:noProof/>
                <w:sz w:val="24"/>
                <w:szCs w:val="24"/>
                <w:lang w:eastAsia="en-AU"/>
              </w:rPr>
              <w:tab/>
            </w:r>
            <w:r w:rsidRPr="00CB0864">
              <w:rPr>
                <w:rStyle w:val="Hyperlink"/>
                <w:noProof/>
              </w:rPr>
              <w:t>Interpreting the Dashboard Data</w:t>
            </w:r>
            <w:r>
              <w:rPr>
                <w:noProof/>
                <w:webHidden/>
              </w:rPr>
              <w:tab/>
            </w:r>
            <w:r>
              <w:rPr>
                <w:noProof/>
                <w:webHidden/>
              </w:rPr>
              <w:fldChar w:fldCharType="begin"/>
            </w:r>
            <w:r>
              <w:rPr>
                <w:noProof/>
                <w:webHidden/>
              </w:rPr>
              <w:instrText xml:space="preserve"> PAGEREF _Toc197599236 \h </w:instrText>
            </w:r>
            <w:r>
              <w:rPr>
                <w:noProof/>
                <w:webHidden/>
              </w:rPr>
            </w:r>
            <w:r>
              <w:rPr>
                <w:noProof/>
                <w:webHidden/>
              </w:rPr>
              <w:fldChar w:fldCharType="separate"/>
            </w:r>
            <w:r>
              <w:rPr>
                <w:noProof/>
                <w:webHidden/>
              </w:rPr>
              <w:t>4</w:t>
            </w:r>
            <w:r>
              <w:rPr>
                <w:noProof/>
                <w:webHidden/>
              </w:rPr>
              <w:fldChar w:fldCharType="end"/>
            </w:r>
          </w:hyperlink>
        </w:p>
        <w:p w14:paraId="51B040BF" w14:textId="147DAAFB" w:rsidR="00414ABF" w:rsidRDefault="00414ABF">
          <w:pPr>
            <w:pStyle w:val="TOC3"/>
            <w:tabs>
              <w:tab w:val="left" w:pos="960"/>
              <w:tab w:val="right" w:leader="dot" w:pos="9016"/>
            </w:tabs>
            <w:rPr>
              <w:rFonts w:eastAsiaTheme="minorEastAsia"/>
              <w:noProof/>
              <w:sz w:val="24"/>
              <w:szCs w:val="24"/>
              <w:lang w:eastAsia="en-AU"/>
            </w:rPr>
          </w:pPr>
          <w:hyperlink w:anchor="_Toc197599237" w:history="1">
            <w:r w:rsidRPr="00CB0864">
              <w:rPr>
                <w:rStyle w:val="Hyperlink"/>
                <w:noProof/>
              </w:rPr>
              <w:t>4.</w:t>
            </w:r>
            <w:r>
              <w:rPr>
                <w:rFonts w:eastAsiaTheme="minorEastAsia"/>
                <w:noProof/>
                <w:sz w:val="24"/>
                <w:szCs w:val="24"/>
                <w:lang w:eastAsia="en-AU"/>
              </w:rPr>
              <w:tab/>
            </w:r>
            <w:r w:rsidRPr="00CB0864">
              <w:rPr>
                <w:rStyle w:val="Hyperlink"/>
                <w:noProof/>
              </w:rPr>
              <w:t>Equity Variables, Geospatial Insights and Student Geospatial Insights</w:t>
            </w:r>
            <w:r>
              <w:rPr>
                <w:noProof/>
                <w:webHidden/>
              </w:rPr>
              <w:tab/>
            </w:r>
            <w:r>
              <w:rPr>
                <w:noProof/>
                <w:webHidden/>
              </w:rPr>
              <w:fldChar w:fldCharType="begin"/>
            </w:r>
            <w:r>
              <w:rPr>
                <w:noProof/>
                <w:webHidden/>
              </w:rPr>
              <w:instrText xml:space="preserve"> PAGEREF _Toc197599237 \h </w:instrText>
            </w:r>
            <w:r>
              <w:rPr>
                <w:noProof/>
                <w:webHidden/>
              </w:rPr>
            </w:r>
            <w:r>
              <w:rPr>
                <w:noProof/>
                <w:webHidden/>
              </w:rPr>
              <w:fldChar w:fldCharType="separate"/>
            </w:r>
            <w:r>
              <w:rPr>
                <w:noProof/>
                <w:webHidden/>
              </w:rPr>
              <w:t>5</w:t>
            </w:r>
            <w:r>
              <w:rPr>
                <w:noProof/>
                <w:webHidden/>
              </w:rPr>
              <w:fldChar w:fldCharType="end"/>
            </w:r>
          </w:hyperlink>
        </w:p>
        <w:p w14:paraId="71B0B5C7" w14:textId="621C200C" w:rsidR="00414ABF" w:rsidRDefault="00414ABF">
          <w:pPr>
            <w:pStyle w:val="TOC3"/>
            <w:tabs>
              <w:tab w:val="left" w:pos="960"/>
              <w:tab w:val="right" w:leader="dot" w:pos="9016"/>
            </w:tabs>
            <w:rPr>
              <w:rFonts w:eastAsiaTheme="minorEastAsia"/>
              <w:noProof/>
              <w:sz w:val="24"/>
              <w:szCs w:val="24"/>
              <w:lang w:eastAsia="en-AU"/>
            </w:rPr>
          </w:pPr>
          <w:hyperlink w:anchor="_Toc197599238" w:history="1">
            <w:r w:rsidRPr="00CB0864">
              <w:rPr>
                <w:rStyle w:val="Hyperlink"/>
                <w:noProof/>
              </w:rPr>
              <w:t>5.</w:t>
            </w:r>
            <w:r>
              <w:rPr>
                <w:rFonts w:eastAsiaTheme="minorEastAsia"/>
                <w:noProof/>
                <w:sz w:val="24"/>
                <w:szCs w:val="24"/>
                <w:lang w:eastAsia="en-AU"/>
              </w:rPr>
              <w:tab/>
            </w:r>
            <w:r w:rsidRPr="00CB0864">
              <w:rPr>
                <w:rStyle w:val="Hyperlink"/>
                <w:noProof/>
              </w:rPr>
              <w:t>Using the Maps</w:t>
            </w:r>
            <w:r>
              <w:rPr>
                <w:noProof/>
                <w:webHidden/>
              </w:rPr>
              <w:tab/>
            </w:r>
            <w:r>
              <w:rPr>
                <w:noProof/>
                <w:webHidden/>
              </w:rPr>
              <w:fldChar w:fldCharType="begin"/>
            </w:r>
            <w:r>
              <w:rPr>
                <w:noProof/>
                <w:webHidden/>
              </w:rPr>
              <w:instrText xml:space="preserve"> PAGEREF _Toc197599238 \h </w:instrText>
            </w:r>
            <w:r>
              <w:rPr>
                <w:noProof/>
                <w:webHidden/>
              </w:rPr>
            </w:r>
            <w:r>
              <w:rPr>
                <w:noProof/>
                <w:webHidden/>
              </w:rPr>
              <w:fldChar w:fldCharType="separate"/>
            </w:r>
            <w:r>
              <w:rPr>
                <w:noProof/>
                <w:webHidden/>
              </w:rPr>
              <w:t>7</w:t>
            </w:r>
            <w:r>
              <w:rPr>
                <w:noProof/>
                <w:webHidden/>
              </w:rPr>
              <w:fldChar w:fldCharType="end"/>
            </w:r>
          </w:hyperlink>
        </w:p>
        <w:p w14:paraId="233A7DB1" w14:textId="1BDBA24A" w:rsidR="00414ABF" w:rsidRDefault="00414ABF">
          <w:pPr>
            <w:pStyle w:val="TOC3"/>
            <w:tabs>
              <w:tab w:val="left" w:pos="960"/>
              <w:tab w:val="right" w:leader="dot" w:pos="9016"/>
            </w:tabs>
            <w:rPr>
              <w:rFonts w:eastAsiaTheme="minorEastAsia"/>
              <w:noProof/>
              <w:sz w:val="24"/>
              <w:szCs w:val="24"/>
              <w:lang w:eastAsia="en-AU"/>
            </w:rPr>
          </w:pPr>
          <w:hyperlink w:anchor="_Toc197599239" w:history="1">
            <w:r w:rsidRPr="00CB0864">
              <w:rPr>
                <w:rStyle w:val="Hyperlink"/>
                <w:noProof/>
              </w:rPr>
              <w:t>6.</w:t>
            </w:r>
            <w:r>
              <w:rPr>
                <w:rFonts w:eastAsiaTheme="minorEastAsia"/>
                <w:noProof/>
                <w:sz w:val="24"/>
                <w:szCs w:val="24"/>
                <w:lang w:eastAsia="en-AU"/>
              </w:rPr>
              <w:tab/>
            </w:r>
            <w:r w:rsidRPr="00CB0864">
              <w:rPr>
                <w:rStyle w:val="Hyperlink"/>
                <w:noProof/>
              </w:rPr>
              <w:t>Primary vs. All Campus Locations for Headcounts</w:t>
            </w:r>
            <w:r>
              <w:rPr>
                <w:noProof/>
                <w:webHidden/>
              </w:rPr>
              <w:tab/>
            </w:r>
            <w:r>
              <w:rPr>
                <w:noProof/>
                <w:webHidden/>
              </w:rPr>
              <w:fldChar w:fldCharType="begin"/>
            </w:r>
            <w:r>
              <w:rPr>
                <w:noProof/>
                <w:webHidden/>
              </w:rPr>
              <w:instrText xml:space="preserve"> PAGEREF _Toc197599239 \h </w:instrText>
            </w:r>
            <w:r>
              <w:rPr>
                <w:noProof/>
                <w:webHidden/>
              </w:rPr>
            </w:r>
            <w:r>
              <w:rPr>
                <w:noProof/>
                <w:webHidden/>
              </w:rPr>
              <w:fldChar w:fldCharType="separate"/>
            </w:r>
            <w:r>
              <w:rPr>
                <w:noProof/>
                <w:webHidden/>
              </w:rPr>
              <w:t>8</w:t>
            </w:r>
            <w:r>
              <w:rPr>
                <w:noProof/>
                <w:webHidden/>
              </w:rPr>
              <w:fldChar w:fldCharType="end"/>
            </w:r>
          </w:hyperlink>
        </w:p>
        <w:p w14:paraId="15F4C672" w14:textId="374B3963" w:rsidR="00414ABF" w:rsidRDefault="00414ABF">
          <w:pPr>
            <w:pStyle w:val="TOC3"/>
            <w:tabs>
              <w:tab w:val="left" w:pos="960"/>
              <w:tab w:val="right" w:leader="dot" w:pos="9016"/>
            </w:tabs>
            <w:rPr>
              <w:rFonts w:eastAsiaTheme="minorEastAsia"/>
              <w:noProof/>
              <w:sz w:val="24"/>
              <w:szCs w:val="24"/>
              <w:lang w:eastAsia="en-AU"/>
            </w:rPr>
          </w:pPr>
          <w:hyperlink w:anchor="_Toc197599240" w:history="1">
            <w:r w:rsidRPr="00CB0864">
              <w:rPr>
                <w:rStyle w:val="Hyperlink"/>
                <w:noProof/>
              </w:rPr>
              <w:t>7.</w:t>
            </w:r>
            <w:r>
              <w:rPr>
                <w:rFonts w:eastAsiaTheme="minorEastAsia"/>
                <w:noProof/>
                <w:sz w:val="24"/>
                <w:szCs w:val="24"/>
                <w:lang w:eastAsia="en-AU"/>
              </w:rPr>
              <w:tab/>
            </w:r>
            <w:r w:rsidRPr="00CB0864">
              <w:rPr>
                <w:rStyle w:val="Hyperlink"/>
                <w:noProof/>
              </w:rPr>
              <w:t>Year to Date</w:t>
            </w:r>
            <w:r>
              <w:rPr>
                <w:noProof/>
                <w:webHidden/>
              </w:rPr>
              <w:tab/>
            </w:r>
            <w:r>
              <w:rPr>
                <w:noProof/>
                <w:webHidden/>
              </w:rPr>
              <w:fldChar w:fldCharType="begin"/>
            </w:r>
            <w:r>
              <w:rPr>
                <w:noProof/>
                <w:webHidden/>
              </w:rPr>
              <w:instrText xml:space="preserve"> PAGEREF _Toc197599240 \h </w:instrText>
            </w:r>
            <w:r>
              <w:rPr>
                <w:noProof/>
                <w:webHidden/>
              </w:rPr>
            </w:r>
            <w:r>
              <w:rPr>
                <w:noProof/>
                <w:webHidden/>
              </w:rPr>
              <w:fldChar w:fldCharType="separate"/>
            </w:r>
            <w:r>
              <w:rPr>
                <w:noProof/>
                <w:webHidden/>
              </w:rPr>
              <w:t>8</w:t>
            </w:r>
            <w:r>
              <w:rPr>
                <w:noProof/>
                <w:webHidden/>
              </w:rPr>
              <w:fldChar w:fldCharType="end"/>
            </w:r>
          </w:hyperlink>
        </w:p>
        <w:p w14:paraId="6A6DC067" w14:textId="3968D8E6" w:rsidR="00414ABF" w:rsidRDefault="00414ABF">
          <w:pPr>
            <w:pStyle w:val="TOC3"/>
            <w:tabs>
              <w:tab w:val="left" w:pos="960"/>
              <w:tab w:val="right" w:leader="dot" w:pos="9016"/>
            </w:tabs>
            <w:rPr>
              <w:rFonts w:eastAsiaTheme="minorEastAsia"/>
              <w:noProof/>
              <w:sz w:val="24"/>
              <w:szCs w:val="24"/>
              <w:lang w:eastAsia="en-AU"/>
            </w:rPr>
          </w:pPr>
          <w:hyperlink w:anchor="_Toc197599241" w:history="1">
            <w:r w:rsidRPr="00CB0864">
              <w:rPr>
                <w:rStyle w:val="Hyperlink"/>
                <w:noProof/>
              </w:rPr>
              <w:t>8.</w:t>
            </w:r>
            <w:r>
              <w:rPr>
                <w:rFonts w:eastAsiaTheme="minorEastAsia"/>
                <w:noProof/>
                <w:sz w:val="24"/>
                <w:szCs w:val="24"/>
                <w:lang w:eastAsia="en-AU"/>
              </w:rPr>
              <w:tab/>
            </w:r>
            <w:r w:rsidRPr="00CB0864">
              <w:rPr>
                <w:rStyle w:val="Hyperlink"/>
                <w:noProof/>
              </w:rPr>
              <w:t>Quality Indicators Section</w:t>
            </w:r>
            <w:r>
              <w:rPr>
                <w:noProof/>
                <w:webHidden/>
              </w:rPr>
              <w:tab/>
            </w:r>
            <w:r>
              <w:rPr>
                <w:noProof/>
                <w:webHidden/>
              </w:rPr>
              <w:fldChar w:fldCharType="begin"/>
            </w:r>
            <w:r>
              <w:rPr>
                <w:noProof/>
                <w:webHidden/>
              </w:rPr>
              <w:instrText xml:space="preserve"> PAGEREF _Toc197599241 \h </w:instrText>
            </w:r>
            <w:r>
              <w:rPr>
                <w:noProof/>
                <w:webHidden/>
              </w:rPr>
            </w:r>
            <w:r>
              <w:rPr>
                <w:noProof/>
                <w:webHidden/>
              </w:rPr>
              <w:fldChar w:fldCharType="separate"/>
            </w:r>
            <w:r>
              <w:rPr>
                <w:noProof/>
                <w:webHidden/>
              </w:rPr>
              <w:t>9</w:t>
            </w:r>
            <w:r>
              <w:rPr>
                <w:noProof/>
                <w:webHidden/>
              </w:rPr>
              <w:fldChar w:fldCharType="end"/>
            </w:r>
          </w:hyperlink>
        </w:p>
        <w:p w14:paraId="0F7B2A14" w14:textId="565A7289" w:rsidR="00414ABF" w:rsidRDefault="00414ABF">
          <w:pPr>
            <w:pStyle w:val="TOC3"/>
            <w:tabs>
              <w:tab w:val="left" w:pos="960"/>
              <w:tab w:val="right" w:leader="dot" w:pos="9016"/>
            </w:tabs>
            <w:rPr>
              <w:rFonts w:eastAsiaTheme="minorEastAsia"/>
              <w:noProof/>
              <w:sz w:val="24"/>
              <w:szCs w:val="24"/>
              <w:lang w:eastAsia="en-AU"/>
            </w:rPr>
          </w:pPr>
          <w:hyperlink w:anchor="_Toc197599242" w:history="1">
            <w:r w:rsidRPr="00CB0864">
              <w:rPr>
                <w:rStyle w:val="Hyperlink"/>
                <w:noProof/>
              </w:rPr>
              <w:t>9.</w:t>
            </w:r>
            <w:r>
              <w:rPr>
                <w:rFonts w:eastAsiaTheme="minorEastAsia"/>
                <w:noProof/>
                <w:sz w:val="24"/>
                <w:szCs w:val="24"/>
                <w:lang w:eastAsia="en-AU"/>
              </w:rPr>
              <w:tab/>
            </w:r>
            <w:r w:rsidRPr="00CB0864">
              <w:rPr>
                <w:rStyle w:val="Hyperlink"/>
                <w:noProof/>
              </w:rPr>
              <w:t>Live and Verified Definitions</w:t>
            </w:r>
            <w:r>
              <w:rPr>
                <w:noProof/>
                <w:webHidden/>
              </w:rPr>
              <w:tab/>
            </w:r>
            <w:r>
              <w:rPr>
                <w:noProof/>
                <w:webHidden/>
              </w:rPr>
              <w:fldChar w:fldCharType="begin"/>
            </w:r>
            <w:r>
              <w:rPr>
                <w:noProof/>
                <w:webHidden/>
              </w:rPr>
              <w:instrText xml:space="preserve"> PAGEREF _Toc197599242 \h </w:instrText>
            </w:r>
            <w:r>
              <w:rPr>
                <w:noProof/>
                <w:webHidden/>
              </w:rPr>
            </w:r>
            <w:r>
              <w:rPr>
                <w:noProof/>
                <w:webHidden/>
              </w:rPr>
              <w:fldChar w:fldCharType="separate"/>
            </w:r>
            <w:r>
              <w:rPr>
                <w:noProof/>
                <w:webHidden/>
              </w:rPr>
              <w:t>10</w:t>
            </w:r>
            <w:r>
              <w:rPr>
                <w:noProof/>
                <w:webHidden/>
              </w:rPr>
              <w:fldChar w:fldCharType="end"/>
            </w:r>
          </w:hyperlink>
        </w:p>
        <w:p w14:paraId="030A0202" w14:textId="00517F1C" w:rsidR="00414ABF" w:rsidRDefault="00414ABF">
          <w:pPr>
            <w:pStyle w:val="TOC3"/>
            <w:tabs>
              <w:tab w:val="left" w:pos="1200"/>
              <w:tab w:val="right" w:leader="dot" w:pos="9016"/>
            </w:tabs>
            <w:rPr>
              <w:rFonts w:eastAsiaTheme="minorEastAsia"/>
              <w:noProof/>
              <w:sz w:val="24"/>
              <w:szCs w:val="24"/>
              <w:lang w:eastAsia="en-AU"/>
            </w:rPr>
          </w:pPr>
          <w:hyperlink w:anchor="_Toc197599243" w:history="1">
            <w:r w:rsidRPr="00CB0864">
              <w:rPr>
                <w:rStyle w:val="Hyperlink"/>
                <w:noProof/>
              </w:rPr>
              <w:t>10.</w:t>
            </w:r>
            <w:r>
              <w:rPr>
                <w:rFonts w:eastAsiaTheme="minorEastAsia"/>
                <w:noProof/>
                <w:sz w:val="24"/>
                <w:szCs w:val="24"/>
                <w:lang w:eastAsia="en-AU"/>
              </w:rPr>
              <w:tab/>
            </w:r>
            <w:r w:rsidRPr="00CB0864">
              <w:rPr>
                <w:rStyle w:val="Hyperlink"/>
                <w:noProof/>
              </w:rPr>
              <w:t>Reporting Issues</w:t>
            </w:r>
            <w:r>
              <w:rPr>
                <w:noProof/>
                <w:webHidden/>
              </w:rPr>
              <w:tab/>
            </w:r>
            <w:r>
              <w:rPr>
                <w:noProof/>
                <w:webHidden/>
              </w:rPr>
              <w:fldChar w:fldCharType="begin"/>
            </w:r>
            <w:r>
              <w:rPr>
                <w:noProof/>
                <w:webHidden/>
              </w:rPr>
              <w:instrText xml:space="preserve"> PAGEREF _Toc197599243 \h </w:instrText>
            </w:r>
            <w:r>
              <w:rPr>
                <w:noProof/>
                <w:webHidden/>
              </w:rPr>
            </w:r>
            <w:r>
              <w:rPr>
                <w:noProof/>
                <w:webHidden/>
              </w:rPr>
              <w:fldChar w:fldCharType="separate"/>
            </w:r>
            <w:r>
              <w:rPr>
                <w:noProof/>
                <w:webHidden/>
              </w:rPr>
              <w:t>10</w:t>
            </w:r>
            <w:r>
              <w:rPr>
                <w:noProof/>
                <w:webHidden/>
              </w:rPr>
              <w:fldChar w:fldCharType="end"/>
            </w:r>
          </w:hyperlink>
        </w:p>
        <w:p w14:paraId="2A304927" w14:textId="31FBB7CE" w:rsidR="00805A4F" w:rsidRDefault="00805A4F">
          <w:r>
            <w:rPr>
              <w:b/>
              <w:bCs/>
              <w:noProof/>
            </w:rPr>
            <w:fldChar w:fldCharType="end"/>
          </w:r>
        </w:p>
      </w:sdtContent>
    </w:sdt>
    <w:p w14:paraId="16A0C5D8" w14:textId="77777777" w:rsidR="00805A4F" w:rsidRDefault="00805A4F" w:rsidP="00805A4F">
      <w:pPr>
        <w:sectPr w:rsidR="00805A4F">
          <w:headerReference w:type="default" r:id="rId11"/>
          <w:pgSz w:w="11906" w:h="16838"/>
          <w:pgMar w:top="1440" w:right="1440" w:bottom="1440" w:left="1440" w:header="708" w:footer="708" w:gutter="0"/>
          <w:cols w:space="708"/>
          <w:docGrid w:linePitch="360"/>
        </w:sectPr>
      </w:pPr>
    </w:p>
    <w:p w14:paraId="27CEA0E8" w14:textId="751B07B8" w:rsidR="00A963D9" w:rsidRPr="00A963D9" w:rsidRDefault="00A963D9" w:rsidP="00354A7A">
      <w:pPr>
        <w:pStyle w:val="Heading3"/>
        <w:numPr>
          <w:ilvl w:val="0"/>
          <w:numId w:val="19"/>
        </w:numPr>
        <w:ind w:left="284" w:hanging="284"/>
      </w:pPr>
      <w:bookmarkStart w:id="3" w:name="_Toc197599234"/>
      <w:r w:rsidRPr="00A963D9">
        <w:lastRenderedPageBreak/>
        <w:t>Overview</w:t>
      </w:r>
      <w:bookmarkEnd w:id="3"/>
    </w:p>
    <w:p w14:paraId="6C61EC9B" w14:textId="77777777" w:rsidR="0041740A" w:rsidRPr="0041740A" w:rsidRDefault="0041740A" w:rsidP="0041740A">
      <w:r w:rsidRPr="0041740A">
        <w:t>The Expected Trends Provider Dashboard is designed to provide insights into expected trends for higher education providers. This guide will help users understand how to navigate and utilise the dashboard effectively, as well as the rules for the elements included in the report.</w:t>
      </w:r>
    </w:p>
    <w:p w14:paraId="03BEFA7C" w14:textId="77777777" w:rsidR="0041740A" w:rsidRPr="0041740A" w:rsidRDefault="0041740A" w:rsidP="0041740A">
      <w:r w:rsidRPr="0041740A">
        <w:rPr>
          <w:b/>
          <w:bCs/>
        </w:rPr>
        <w:t>Purpose and Importance</w:t>
      </w:r>
    </w:p>
    <w:p w14:paraId="509C2A68" w14:textId="4E8E05EE" w:rsidR="0041740A" w:rsidRPr="0041740A" w:rsidRDefault="0041740A" w:rsidP="0041740A">
      <w:r w:rsidRPr="0041740A">
        <w:t>The Expected Trends Provider Dashboard is crucial for assessing the risks associated with higher education providers’ enrolment targets. It will help providers identify areas where they may have reporting gaps or data quality issues, assisting them in tracking ahead of the annual verification process.</w:t>
      </w:r>
    </w:p>
    <w:p w14:paraId="1213BCF0" w14:textId="77777777" w:rsidR="0041740A" w:rsidRPr="0041740A" w:rsidRDefault="0041740A" w:rsidP="0041740A">
      <w:r w:rsidRPr="0041740A">
        <w:rPr>
          <w:b/>
          <w:bCs/>
        </w:rPr>
        <w:t>Key Features</w:t>
      </w:r>
    </w:p>
    <w:p w14:paraId="1A43FEE8" w14:textId="4C70DC4B" w:rsidR="0041740A" w:rsidRPr="0041740A" w:rsidRDefault="0041740A" w:rsidP="0041740A">
      <w:pPr>
        <w:numPr>
          <w:ilvl w:val="0"/>
          <w:numId w:val="17"/>
        </w:numPr>
      </w:pPr>
      <w:r w:rsidRPr="0041740A">
        <w:rPr>
          <w:b/>
          <w:bCs/>
        </w:rPr>
        <w:t>Insights into Predicted Enrolment Targets and Actual Trends</w:t>
      </w:r>
      <w:r w:rsidRPr="0041740A">
        <w:t>: The dashboard will provide insights into predicted enrolment targets and actual trends, which are essential for informed decision-making by providers. It will present current year data and high-impact targets, enabling proactive monitoring of student enrolments and Equivalent Full-Time Student Load (EFTSL).</w:t>
      </w:r>
    </w:p>
    <w:p w14:paraId="3D96DB34" w14:textId="4C28DE63" w:rsidR="0041740A" w:rsidRPr="0041740A" w:rsidRDefault="0041740A" w:rsidP="0041740A">
      <w:pPr>
        <w:numPr>
          <w:ilvl w:val="0"/>
          <w:numId w:val="17"/>
        </w:numPr>
      </w:pPr>
      <w:r w:rsidRPr="0041740A">
        <w:rPr>
          <w:b/>
          <w:bCs/>
        </w:rPr>
        <w:t>Live and Verified Data</w:t>
      </w:r>
      <w:r w:rsidRPr="0041740A">
        <w:t xml:space="preserve">: The dashboard includes both live data, updated nightly from </w:t>
      </w:r>
      <w:r w:rsidR="00805A4F">
        <w:t>the TCSI database</w:t>
      </w:r>
      <w:r w:rsidRPr="0041740A">
        <w:t>, and verified data at specific points in time. This allows for a current view of student activity and ensures data accuracy.</w:t>
      </w:r>
    </w:p>
    <w:p w14:paraId="5F643A52" w14:textId="020F4B7C" w:rsidR="0041740A" w:rsidRPr="0041740A" w:rsidRDefault="0041740A" w:rsidP="0041740A">
      <w:pPr>
        <w:numPr>
          <w:ilvl w:val="0"/>
          <w:numId w:val="17"/>
        </w:numPr>
      </w:pPr>
      <w:r w:rsidRPr="0041740A">
        <w:rPr>
          <w:b/>
          <w:bCs/>
        </w:rPr>
        <w:t>Visualisations and Data Export</w:t>
      </w:r>
      <w:r w:rsidRPr="0041740A">
        <w:t>: The dashboard presents clear and efficient visualisations of current and previous year data, with data table drill-through and export functionality. This helps providers to easily access and analyse the data.</w:t>
      </w:r>
    </w:p>
    <w:p w14:paraId="7D09062C" w14:textId="2AD552F7" w:rsidR="00D17228" w:rsidRDefault="008455F4" w:rsidP="00A963D9">
      <w:r w:rsidRPr="008455F4">
        <w:rPr>
          <w:noProof/>
        </w:rPr>
        <w:drawing>
          <wp:inline distT="0" distB="0" distL="0" distR="0" wp14:anchorId="54DC86E6" wp14:editId="21C45BF6">
            <wp:extent cx="5731510" cy="2980690"/>
            <wp:effectExtent l="0" t="0" r="2540" b="0"/>
            <wp:docPr id="1008528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28238" name="Picture 1" descr="A screenshot of a computer&#10;&#10;Description automatically generated"/>
                    <pic:cNvPicPr/>
                  </pic:nvPicPr>
                  <pic:blipFill>
                    <a:blip r:embed="rId12"/>
                    <a:stretch>
                      <a:fillRect/>
                    </a:stretch>
                  </pic:blipFill>
                  <pic:spPr>
                    <a:xfrm>
                      <a:off x="0" y="0"/>
                      <a:ext cx="5731510" cy="2980690"/>
                    </a:xfrm>
                    <a:prstGeom prst="rect">
                      <a:avLst/>
                    </a:prstGeom>
                  </pic:spPr>
                </pic:pic>
              </a:graphicData>
            </a:graphic>
          </wp:inline>
        </w:drawing>
      </w:r>
    </w:p>
    <w:p w14:paraId="19C5A565" w14:textId="77777777" w:rsidR="006021A1" w:rsidRDefault="006021A1" w:rsidP="00A963D9">
      <w:pPr>
        <w:sectPr w:rsidR="006021A1">
          <w:pgSz w:w="11906" w:h="16838"/>
          <w:pgMar w:top="1440" w:right="1440" w:bottom="1440" w:left="1440" w:header="708" w:footer="708" w:gutter="0"/>
          <w:cols w:space="708"/>
          <w:docGrid w:linePitch="360"/>
        </w:sectPr>
      </w:pPr>
    </w:p>
    <w:p w14:paraId="392438E2" w14:textId="6DD1B0AC" w:rsidR="003A3CBF" w:rsidRPr="003A3CBF" w:rsidRDefault="003A3CBF" w:rsidP="00354A7A">
      <w:pPr>
        <w:pStyle w:val="Heading3"/>
        <w:numPr>
          <w:ilvl w:val="0"/>
          <w:numId w:val="19"/>
        </w:numPr>
        <w:ind w:left="284" w:hanging="284"/>
      </w:pPr>
      <w:bookmarkStart w:id="4" w:name="_Toc197599235"/>
      <w:r w:rsidRPr="003A3CBF">
        <w:lastRenderedPageBreak/>
        <w:t>Accessing the Dashboard</w:t>
      </w:r>
      <w:bookmarkEnd w:id="4"/>
    </w:p>
    <w:p w14:paraId="3DA6FC63" w14:textId="27028DE6" w:rsidR="003A3CBF" w:rsidRPr="003A3CBF" w:rsidRDefault="003A3CBF" w:rsidP="003A3CBF">
      <w:pPr>
        <w:numPr>
          <w:ilvl w:val="0"/>
          <w:numId w:val="9"/>
        </w:numPr>
      </w:pPr>
      <w:r w:rsidRPr="003A3CBF">
        <w:rPr>
          <w:b/>
          <w:bCs/>
        </w:rPr>
        <w:t>TCSI Analytics Portal</w:t>
      </w:r>
      <w:r w:rsidRPr="003A3CBF">
        <w:t xml:space="preserve">: The dashboard is available through the TCSI Analytics Portal. External users will need a </w:t>
      </w:r>
      <w:hyperlink r:id="rId13" w:history="1">
        <w:r w:rsidRPr="003A3CBF">
          <w:rPr>
            <w:rStyle w:val="Hyperlink"/>
          </w:rPr>
          <w:t>PRODA account</w:t>
        </w:r>
      </w:hyperlink>
      <w:r w:rsidRPr="003A3CBF">
        <w:t xml:space="preserve"> to access the portal.</w:t>
      </w:r>
    </w:p>
    <w:p w14:paraId="4A2D23FA" w14:textId="77777777" w:rsidR="003A3CBF" w:rsidRDefault="003A3CBF" w:rsidP="003A3CBF">
      <w:pPr>
        <w:numPr>
          <w:ilvl w:val="0"/>
          <w:numId w:val="9"/>
        </w:numPr>
      </w:pPr>
      <w:r w:rsidRPr="003A3CBF">
        <w:rPr>
          <w:b/>
          <w:bCs/>
        </w:rPr>
        <w:t>Navigate to the Dashboard</w:t>
      </w:r>
      <w:r w:rsidRPr="003A3CBF">
        <w:t>: Locate the Expected Trends Provider Dashboard within the Dashboard section of the Interface.</w:t>
      </w:r>
    </w:p>
    <w:p w14:paraId="6300CBAC" w14:textId="402EA99D" w:rsidR="00D17228" w:rsidRDefault="008455F4" w:rsidP="00D17228">
      <w:r w:rsidRPr="008455F4">
        <w:rPr>
          <w:noProof/>
        </w:rPr>
        <w:drawing>
          <wp:inline distT="0" distB="0" distL="0" distR="0" wp14:anchorId="592DD010" wp14:editId="5EA030A7">
            <wp:extent cx="5731510" cy="2506980"/>
            <wp:effectExtent l="0" t="0" r="2540" b="7620"/>
            <wp:docPr id="19170925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2575" name="Picture 1" descr="A screenshot of a computer&#10;&#10;Description automatically generated"/>
                    <pic:cNvPicPr/>
                  </pic:nvPicPr>
                  <pic:blipFill>
                    <a:blip r:embed="rId14"/>
                    <a:stretch>
                      <a:fillRect/>
                    </a:stretch>
                  </pic:blipFill>
                  <pic:spPr>
                    <a:xfrm>
                      <a:off x="0" y="0"/>
                      <a:ext cx="5731510" cy="2506980"/>
                    </a:xfrm>
                    <a:prstGeom prst="rect">
                      <a:avLst/>
                    </a:prstGeom>
                  </pic:spPr>
                </pic:pic>
              </a:graphicData>
            </a:graphic>
          </wp:inline>
        </w:drawing>
      </w:r>
    </w:p>
    <w:p w14:paraId="63926C2F" w14:textId="57F0D277" w:rsidR="003A3CBF" w:rsidRPr="003A3CBF" w:rsidRDefault="003A3CBF" w:rsidP="00354A7A">
      <w:pPr>
        <w:pStyle w:val="Heading3"/>
        <w:numPr>
          <w:ilvl w:val="0"/>
          <w:numId w:val="9"/>
        </w:numPr>
        <w:tabs>
          <w:tab w:val="clear" w:pos="720"/>
          <w:tab w:val="num" w:pos="284"/>
        </w:tabs>
        <w:ind w:left="284" w:hanging="284"/>
      </w:pPr>
      <w:bookmarkStart w:id="5" w:name="_Toc197599236"/>
      <w:r w:rsidRPr="003A3CBF">
        <w:t>Interpreting the Dashboard Data</w:t>
      </w:r>
      <w:bookmarkEnd w:id="5"/>
    </w:p>
    <w:p w14:paraId="034D367F" w14:textId="77777777" w:rsidR="003A3CBF" w:rsidRPr="003A3CBF" w:rsidRDefault="003A3CBF" w:rsidP="003A3CBF">
      <w:r w:rsidRPr="003A3CBF">
        <w:t>The Expected Trends Dashboard provides a comprehensive view of various metrics and trends. Here are some key points to help you interpret the data:</w:t>
      </w:r>
    </w:p>
    <w:p w14:paraId="7B156652" w14:textId="78E521BB" w:rsidR="008455F4" w:rsidRPr="003A3CBF" w:rsidRDefault="003A3CBF" w:rsidP="008455F4">
      <w:pPr>
        <w:numPr>
          <w:ilvl w:val="0"/>
          <w:numId w:val="10"/>
        </w:numPr>
      </w:pPr>
      <w:r w:rsidRPr="003A3CBF">
        <w:rPr>
          <w:b/>
          <w:bCs/>
        </w:rPr>
        <w:t>Student Numbers (Headcount)</w:t>
      </w:r>
      <w:r w:rsidRPr="003A3CBF">
        <w:t xml:space="preserve">: </w:t>
      </w:r>
      <w:r w:rsidR="009F4CC1" w:rsidRPr="009F4CC1">
        <w:t>This section displays the total number of students enrolled. The data is calculated using the Major Course. You can view the data by different categories such as year, course</w:t>
      </w:r>
      <w:r w:rsidR="007B2630">
        <w:t xml:space="preserve"> level</w:t>
      </w:r>
      <w:r w:rsidR="009F4CC1" w:rsidRPr="009F4CC1">
        <w:t xml:space="preserve">, and </w:t>
      </w:r>
      <w:r w:rsidR="009F4CC1">
        <w:t>broad field of education</w:t>
      </w:r>
      <w:r w:rsidR="009F4CC1" w:rsidRPr="009F4CC1">
        <w:t>. This helps in understanding the overall student population and its distribution across different segments</w:t>
      </w:r>
      <w:r w:rsidRPr="003A3CBF">
        <w:t>.</w:t>
      </w:r>
      <w:r w:rsidR="0032583E">
        <w:rPr>
          <w:noProof/>
        </w:rPr>
        <mc:AlternateContent>
          <mc:Choice Requires="wpi">
            <w:drawing>
              <wp:anchor distT="0" distB="0" distL="114300" distR="114300" simplePos="0" relativeHeight="251676672" behindDoc="0" locked="0" layoutInCell="1" allowOverlap="1" wp14:anchorId="0156822E" wp14:editId="06599AEC">
                <wp:simplePos x="0" y="0"/>
                <wp:positionH relativeFrom="column">
                  <wp:posOffset>-2324100</wp:posOffset>
                </wp:positionH>
                <wp:positionV relativeFrom="paragraph">
                  <wp:posOffset>1734850</wp:posOffset>
                </wp:positionV>
                <wp:extent cx="360" cy="360"/>
                <wp:effectExtent l="57150" t="57150" r="57150" b="57150"/>
                <wp:wrapNone/>
                <wp:docPr id="1606171237" name="Ink 2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68EAF4C" id="Ink 20" o:spid="_x0000_s1026" type="#_x0000_t75" style="position:absolute;margin-left:-183.7pt;margin-top:135.9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XnjA0dQBAACbBAAAEAAAAAAAAAAA&#10;AAAAAADQAwAAZHJzL2luay9pbmsxLnhtbFBLAQItABQABgAIAAAAIQAA57Na3wAAAA0BAAAPAAAA&#10;AAAAAAAAAAAAANIFAABkcnMvZG93bnJldi54bWxQSwECLQAUAAYACAAAACEAeRi8nb8AAAAhAQAA&#10;GQAAAAAAAAAAAAAAAADeBgAAZHJzL19yZWxzL2Uyb0RvYy54bWwucmVsc1BLBQYAAAAABgAGAHgB&#10;AADUBwAAAAA=&#10;">
                <v:imagedata r:id="rId16" o:title=""/>
              </v:shape>
            </w:pict>
          </mc:Fallback>
        </mc:AlternateContent>
      </w:r>
      <w:r w:rsidR="0032583E">
        <w:rPr>
          <w:noProof/>
        </w:rPr>
        <mc:AlternateContent>
          <mc:Choice Requires="wpi">
            <w:drawing>
              <wp:anchor distT="0" distB="0" distL="114300" distR="114300" simplePos="0" relativeHeight="251665408" behindDoc="0" locked="0" layoutInCell="1" allowOverlap="1" wp14:anchorId="7EA3ED6D" wp14:editId="27B4EF64">
                <wp:simplePos x="0" y="0"/>
                <wp:positionH relativeFrom="column">
                  <wp:posOffset>1720860</wp:posOffset>
                </wp:positionH>
                <wp:positionV relativeFrom="paragraph">
                  <wp:posOffset>1696690</wp:posOffset>
                </wp:positionV>
                <wp:extent cx="360" cy="360"/>
                <wp:effectExtent l="57150" t="57150" r="57150" b="57150"/>
                <wp:wrapNone/>
                <wp:docPr id="1866710103" name="Ink 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59349F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34.8pt;margin-top:132.9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2jrQj1AEAAJsEAAAQAAAAAAAAAAAA&#10;AAAAANADAABkcnMvaW5rL2luazEueG1sUEsBAi0AFAAGAAgAAAAhAErsO9zeAAAACwEAAA8AAAAA&#10;AAAAAAAAAAAA0gUAAGRycy9kb3ducmV2LnhtbFBLAQItABQABgAIAAAAIQB5GLydvwAAACEBAAAZ&#10;AAAAAAAAAAAAAAAAAN0GAABkcnMvX3JlbHMvZTJvRG9jLnhtbC5yZWxzUEsFBgAAAAAGAAYAeAEA&#10;ANMHAAAAAA==&#10;">
                <v:imagedata r:id="rId18" o:title=""/>
              </v:shape>
            </w:pict>
          </mc:Fallback>
        </mc:AlternateContent>
      </w:r>
    </w:p>
    <w:p w14:paraId="05A79C48" w14:textId="233596D4" w:rsidR="008455F4" w:rsidRPr="003A3CBF" w:rsidRDefault="003A3CBF" w:rsidP="008455F4">
      <w:pPr>
        <w:numPr>
          <w:ilvl w:val="0"/>
          <w:numId w:val="10"/>
        </w:numPr>
      </w:pPr>
      <w:r w:rsidRPr="003A3CBF">
        <w:rPr>
          <w:b/>
          <w:bCs/>
        </w:rPr>
        <w:t>Student Load (EFTSL)</w:t>
      </w:r>
      <w:r w:rsidRPr="003A3CBF">
        <w:t>: Equivalent Full-Time Student Load (EFTSL) data shows the total study load of students. This metric is crucial for understanding the workload and capacity of educational institutions. It can be broken down by discipline, course</w:t>
      </w:r>
      <w:r w:rsidR="007B2630">
        <w:t xml:space="preserve"> level</w:t>
      </w:r>
      <w:r w:rsidRPr="003A3CBF">
        <w:t>, and year to provide detailed insights.</w:t>
      </w:r>
    </w:p>
    <w:p w14:paraId="0A778748" w14:textId="19434FC7" w:rsidR="003A3CBF" w:rsidRDefault="003A3CBF" w:rsidP="001C4C6E">
      <w:pPr>
        <w:pStyle w:val="ListParagraph"/>
        <w:numPr>
          <w:ilvl w:val="0"/>
          <w:numId w:val="9"/>
        </w:numPr>
      </w:pPr>
      <w:r w:rsidRPr="001C4C6E">
        <w:rPr>
          <w:b/>
          <w:bCs/>
        </w:rPr>
        <w:t>Visuali</w:t>
      </w:r>
      <w:r w:rsidR="007B2630">
        <w:rPr>
          <w:b/>
          <w:bCs/>
        </w:rPr>
        <w:t>sa</w:t>
      </w:r>
      <w:r w:rsidRPr="001C4C6E">
        <w:rPr>
          <w:b/>
          <w:bCs/>
        </w:rPr>
        <w:t>tions</w:t>
      </w:r>
      <w:r w:rsidRPr="003A3CBF">
        <w:t xml:space="preserve">: </w:t>
      </w:r>
      <w:r w:rsidR="009F4CC1" w:rsidRPr="009F4CC1">
        <w:t>The dashboard includes various </w:t>
      </w:r>
      <w:r w:rsidR="007B2630" w:rsidRPr="001C4C6E">
        <w:rPr>
          <w:b/>
          <w:bCs/>
        </w:rPr>
        <w:t>visuali</w:t>
      </w:r>
      <w:r w:rsidR="007B2630">
        <w:rPr>
          <w:b/>
          <w:bCs/>
        </w:rPr>
        <w:t>s</w:t>
      </w:r>
      <w:r w:rsidR="007B2630" w:rsidRPr="001C4C6E">
        <w:rPr>
          <w:b/>
          <w:bCs/>
        </w:rPr>
        <w:t>ations</w:t>
      </w:r>
      <w:r w:rsidR="007B2630" w:rsidRPr="009F4CC1">
        <w:t> </w:t>
      </w:r>
      <w:r w:rsidR="009F4CC1" w:rsidRPr="009F4CC1">
        <w:t>such as bar charts and scatter plots. Bar charts are suitable for displaying a small number of comparative items, including values over time. Scatter plots show an association between two variables, displaying values for two variables for a set of data as a collection of points</w:t>
      </w:r>
      <w:r w:rsidRPr="003A3CBF">
        <w:t>.</w:t>
      </w:r>
    </w:p>
    <w:p w14:paraId="725C9FAD" w14:textId="42B91F3F" w:rsidR="00194B2C" w:rsidRPr="003A3CBF" w:rsidRDefault="005D2EB7" w:rsidP="00194B2C">
      <w:r>
        <w:rPr>
          <w:noProof/>
        </w:rPr>
        <w:lastRenderedPageBreak/>
        <w:drawing>
          <wp:inline distT="0" distB="0" distL="0" distR="0" wp14:anchorId="19F2A39A" wp14:editId="3D7E8B64">
            <wp:extent cx="5727700" cy="1524000"/>
            <wp:effectExtent l="38100" t="38100" r="44450" b="38100"/>
            <wp:docPr id="209488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1524000"/>
                    </a:xfrm>
                    <a:prstGeom prst="rect">
                      <a:avLst/>
                    </a:prstGeom>
                    <a:noFill/>
                    <a:ln w="28575">
                      <a:solidFill>
                        <a:schemeClr val="tx1"/>
                      </a:solidFill>
                    </a:ln>
                  </pic:spPr>
                </pic:pic>
              </a:graphicData>
            </a:graphic>
          </wp:inline>
        </w:drawing>
      </w:r>
    </w:p>
    <w:p w14:paraId="268D7993" w14:textId="7B48BD7D" w:rsidR="003A3CBF" w:rsidRDefault="003A3CBF" w:rsidP="001C4C6E">
      <w:pPr>
        <w:numPr>
          <w:ilvl w:val="0"/>
          <w:numId w:val="9"/>
        </w:numPr>
      </w:pPr>
      <w:r w:rsidRPr="003A3CBF">
        <w:rPr>
          <w:b/>
          <w:bCs/>
        </w:rPr>
        <w:t>Time Series Data</w:t>
      </w:r>
      <w:r w:rsidRPr="003A3CBF">
        <w:t>: The dashboard provides time series data, allowing you to track changes and trends over time. This is useful for identifying long-term patterns and making data-driven decisions.</w:t>
      </w:r>
    </w:p>
    <w:p w14:paraId="601988AF" w14:textId="22CD47B9" w:rsidR="00194B2C" w:rsidRDefault="007A595F" w:rsidP="00194B2C">
      <w:r>
        <w:rPr>
          <w:noProof/>
        </w:rPr>
        <w:drawing>
          <wp:inline distT="0" distB="0" distL="0" distR="0" wp14:anchorId="5D5C97EE" wp14:editId="1D7C1D58">
            <wp:extent cx="5727700" cy="2108200"/>
            <wp:effectExtent l="76200" t="76200" r="139700" b="139700"/>
            <wp:docPr id="1674488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10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36620D" w14:textId="1806AC03" w:rsidR="00394C15" w:rsidRPr="00394C15" w:rsidRDefault="00394C15" w:rsidP="00EA39F4">
      <w:pPr>
        <w:pStyle w:val="Heading3"/>
        <w:numPr>
          <w:ilvl w:val="0"/>
          <w:numId w:val="20"/>
        </w:numPr>
        <w:tabs>
          <w:tab w:val="clear" w:pos="720"/>
          <w:tab w:val="num" w:pos="426"/>
        </w:tabs>
        <w:ind w:left="426" w:hanging="426"/>
      </w:pPr>
      <w:bookmarkStart w:id="6" w:name="_Toc197599237"/>
      <w:r w:rsidRPr="00394C15">
        <w:t>Equity</w:t>
      </w:r>
      <w:r w:rsidR="00252963">
        <w:t xml:space="preserve"> Variables, Geospatial Insights and Student Geospatial Insights</w:t>
      </w:r>
      <w:bookmarkEnd w:id="6"/>
    </w:p>
    <w:p w14:paraId="1C5C5960" w14:textId="77777777" w:rsidR="00394C15" w:rsidRPr="00394C15" w:rsidRDefault="00394C15" w:rsidP="00394C15">
      <w:pPr>
        <w:numPr>
          <w:ilvl w:val="0"/>
          <w:numId w:val="11"/>
        </w:numPr>
      </w:pPr>
      <w:r w:rsidRPr="00394C15">
        <w:rPr>
          <w:b/>
          <w:bCs/>
        </w:rPr>
        <w:t>Equity Variables</w:t>
      </w:r>
      <w:r w:rsidRPr="00394C15">
        <w:t>:</w:t>
      </w:r>
    </w:p>
    <w:p w14:paraId="1DDD8AC0" w14:textId="77777777" w:rsidR="00394C15" w:rsidRPr="00394C15" w:rsidRDefault="00394C15" w:rsidP="00394C15">
      <w:pPr>
        <w:numPr>
          <w:ilvl w:val="1"/>
          <w:numId w:val="11"/>
        </w:numPr>
      </w:pPr>
      <w:r w:rsidRPr="00394C15">
        <w:rPr>
          <w:b/>
          <w:bCs/>
        </w:rPr>
        <w:t>First Nations</w:t>
      </w:r>
      <w:r w:rsidRPr="00394C15">
        <w:t>: Indicates whether a student identifies as a First Nations student.</w:t>
      </w:r>
    </w:p>
    <w:p w14:paraId="5720972E" w14:textId="77777777" w:rsidR="00394C15" w:rsidRPr="00394C15" w:rsidRDefault="00394C15" w:rsidP="00394C15">
      <w:pPr>
        <w:numPr>
          <w:ilvl w:val="1"/>
          <w:numId w:val="11"/>
        </w:numPr>
      </w:pPr>
      <w:r w:rsidRPr="00394C15">
        <w:rPr>
          <w:b/>
          <w:bCs/>
        </w:rPr>
        <w:t>Disability Status</w:t>
      </w:r>
      <w:r w:rsidRPr="00394C15">
        <w:t>: Indicates whether a student has a disability.</w:t>
      </w:r>
    </w:p>
    <w:p w14:paraId="185498BA" w14:textId="77777777" w:rsidR="00394C15" w:rsidRPr="00394C15" w:rsidRDefault="00394C15" w:rsidP="00394C15">
      <w:pPr>
        <w:numPr>
          <w:ilvl w:val="1"/>
          <w:numId w:val="11"/>
        </w:numPr>
      </w:pPr>
      <w:r w:rsidRPr="00394C15">
        <w:rPr>
          <w:b/>
          <w:bCs/>
        </w:rPr>
        <w:t>Students from a Non-English Speaking Background</w:t>
      </w:r>
      <w:r w:rsidRPr="00394C15">
        <w:t>: Indicates whether a student comes from a non-English speaking background.</w:t>
      </w:r>
    </w:p>
    <w:p w14:paraId="0073E952" w14:textId="77777777" w:rsidR="00394C15" w:rsidRPr="00394C15" w:rsidRDefault="00394C15" w:rsidP="00394C15">
      <w:pPr>
        <w:numPr>
          <w:ilvl w:val="1"/>
          <w:numId w:val="11"/>
        </w:numPr>
      </w:pPr>
      <w:r w:rsidRPr="00394C15">
        <w:rPr>
          <w:b/>
          <w:bCs/>
        </w:rPr>
        <w:t>Women in Non-Traditional Areas</w:t>
      </w:r>
      <w:r w:rsidRPr="00394C15">
        <w:t>: Indicates whether a student is a woman studying in a non-traditional area.</w:t>
      </w:r>
    </w:p>
    <w:p w14:paraId="6EB9F11F" w14:textId="766BE5C1" w:rsidR="00394C15" w:rsidRDefault="00394C15" w:rsidP="00394C15">
      <w:pPr>
        <w:numPr>
          <w:ilvl w:val="1"/>
          <w:numId w:val="11"/>
        </w:numPr>
      </w:pPr>
      <w:r w:rsidRPr="00394C15">
        <w:rPr>
          <w:b/>
          <w:bCs/>
        </w:rPr>
        <w:t>Regional/Remote Status</w:t>
      </w:r>
      <w:r w:rsidRPr="00394C15">
        <w:t>: Indicates whether a student is from a regional or remote area.</w:t>
      </w:r>
    </w:p>
    <w:p w14:paraId="49D0155D" w14:textId="77777777" w:rsidR="009C4206" w:rsidRPr="00394C15" w:rsidRDefault="009C4206" w:rsidP="009C4206">
      <w:pPr>
        <w:numPr>
          <w:ilvl w:val="1"/>
          <w:numId w:val="11"/>
        </w:numPr>
      </w:pPr>
      <w:r w:rsidRPr="00394C15">
        <w:rPr>
          <w:b/>
          <w:bCs/>
        </w:rPr>
        <w:t>Total Domestic Onshore Students</w:t>
      </w:r>
      <w:r w:rsidRPr="00394C15">
        <w:t>: Indicates the total number of domestic onshore students.</w:t>
      </w:r>
    </w:p>
    <w:p w14:paraId="0EDF041C" w14:textId="578FB40E" w:rsidR="00BC6567" w:rsidRDefault="008447FC" w:rsidP="00DE3529">
      <w:r>
        <w:rPr>
          <w:noProof/>
        </w:rPr>
        <w:lastRenderedPageBreak/>
        <w:drawing>
          <wp:inline distT="0" distB="0" distL="0" distR="0" wp14:anchorId="5D81A1B4" wp14:editId="68C660CA">
            <wp:extent cx="5727700" cy="2063750"/>
            <wp:effectExtent l="38100" t="38100" r="44450" b="31750"/>
            <wp:docPr id="971731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063750"/>
                    </a:xfrm>
                    <a:prstGeom prst="rect">
                      <a:avLst/>
                    </a:prstGeom>
                    <a:noFill/>
                    <a:ln w="28575">
                      <a:solidFill>
                        <a:schemeClr val="tx1"/>
                      </a:solidFill>
                    </a:ln>
                  </pic:spPr>
                </pic:pic>
              </a:graphicData>
            </a:graphic>
          </wp:inline>
        </w:drawing>
      </w:r>
    </w:p>
    <w:p w14:paraId="6E64305D" w14:textId="52129DC0" w:rsidR="00394C15" w:rsidRPr="00394C15" w:rsidRDefault="0029104B" w:rsidP="00394C15">
      <w:pPr>
        <w:numPr>
          <w:ilvl w:val="0"/>
          <w:numId w:val="11"/>
        </w:numPr>
      </w:pPr>
      <w:r>
        <w:rPr>
          <w:b/>
          <w:bCs/>
        </w:rPr>
        <w:t>Geo Spatial Insights</w:t>
      </w:r>
      <w:r w:rsidR="00394C15" w:rsidRPr="00394C15">
        <w:t>:</w:t>
      </w:r>
    </w:p>
    <w:p w14:paraId="14A0549A" w14:textId="7E41C21C" w:rsidR="00394C15" w:rsidRDefault="0029104B" w:rsidP="00394C15">
      <w:pPr>
        <w:numPr>
          <w:ilvl w:val="1"/>
          <w:numId w:val="11"/>
        </w:numPr>
      </w:pPr>
      <w:r>
        <w:rPr>
          <w:b/>
          <w:bCs/>
        </w:rPr>
        <w:t>Provider Geospatial Insights</w:t>
      </w:r>
      <w:r w:rsidR="00394C15" w:rsidRPr="00394C15">
        <w:t>: Indicates the geographical location of the campus.</w:t>
      </w:r>
    </w:p>
    <w:p w14:paraId="665A5662" w14:textId="04E3D7BE" w:rsidR="0029104B" w:rsidRDefault="00805A4F" w:rsidP="0029104B">
      <w:r>
        <w:rPr>
          <w:noProof/>
        </w:rPr>
        <w:drawing>
          <wp:inline distT="0" distB="0" distL="0" distR="0" wp14:anchorId="33D84D45" wp14:editId="7E2EE9A5">
            <wp:extent cx="5731510" cy="3211195"/>
            <wp:effectExtent l="0" t="0" r="2540" b="8255"/>
            <wp:docPr id="111216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63502" name="Picture 11121635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11195"/>
                    </a:xfrm>
                    <a:prstGeom prst="rect">
                      <a:avLst/>
                    </a:prstGeom>
                  </pic:spPr>
                </pic:pic>
              </a:graphicData>
            </a:graphic>
          </wp:inline>
        </w:drawing>
      </w:r>
    </w:p>
    <w:p w14:paraId="279B3719" w14:textId="2401CB6F" w:rsidR="0029104B" w:rsidRDefault="00BC0121" w:rsidP="00BC0121">
      <w:pPr>
        <w:pStyle w:val="ListParagraph"/>
        <w:numPr>
          <w:ilvl w:val="0"/>
          <w:numId w:val="14"/>
        </w:numPr>
      </w:pPr>
      <w:r>
        <w:t>Student Geospatial Insights: Indicates the location of students’ country of birth, first residential address, residential address and student term residen</w:t>
      </w:r>
      <w:r w:rsidR="001C4C6E">
        <w:t>ce address.</w:t>
      </w:r>
    </w:p>
    <w:p w14:paraId="585D794F" w14:textId="4D7573B6" w:rsidR="001C4C6E" w:rsidRDefault="00856B4C" w:rsidP="001C4C6E">
      <w:r>
        <w:rPr>
          <w:noProof/>
        </w:rPr>
        <w:lastRenderedPageBreak/>
        <w:drawing>
          <wp:inline distT="0" distB="0" distL="0" distR="0" wp14:anchorId="2DE4F425" wp14:editId="47A41E65">
            <wp:extent cx="5731510" cy="3216275"/>
            <wp:effectExtent l="0" t="0" r="2540" b="3175"/>
            <wp:docPr id="1571444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4670" name="Picture 15714446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inline>
        </w:drawing>
      </w:r>
    </w:p>
    <w:p w14:paraId="22BA1320" w14:textId="7AAA7685" w:rsidR="003060E0" w:rsidRPr="003060E0" w:rsidRDefault="003060E0" w:rsidP="00EA39F4">
      <w:pPr>
        <w:pStyle w:val="Heading3"/>
        <w:numPr>
          <w:ilvl w:val="0"/>
          <w:numId w:val="20"/>
        </w:numPr>
        <w:tabs>
          <w:tab w:val="clear" w:pos="720"/>
          <w:tab w:val="num" w:pos="567"/>
        </w:tabs>
        <w:ind w:left="284" w:hanging="284"/>
      </w:pPr>
      <w:bookmarkStart w:id="7" w:name="_Toc197599238"/>
      <w:r w:rsidRPr="003060E0">
        <w:t>Using the Maps</w:t>
      </w:r>
      <w:bookmarkEnd w:id="7"/>
    </w:p>
    <w:p w14:paraId="577C8652" w14:textId="3B6C3157" w:rsidR="003060E0" w:rsidRPr="003060E0" w:rsidRDefault="003060E0" w:rsidP="003060E0">
      <w:r w:rsidRPr="003060E0">
        <w:t>The maps in the Expected Trends Provider Dashboard provide a visual representation of various data points related to student enrolment</w:t>
      </w:r>
      <w:r w:rsidR="00252963">
        <w:t>/load</w:t>
      </w:r>
      <w:r w:rsidRPr="003060E0">
        <w:t xml:space="preserve"> and trends. Here’s how you can effectively use these maps:</w:t>
      </w:r>
    </w:p>
    <w:p w14:paraId="5F39CD81" w14:textId="46584222" w:rsidR="003060E0" w:rsidRPr="003060E0" w:rsidRDefault="003060E0" w:rsidP="003060E0">
      <w:r w:rsidRPr="003060E0">
        <w:t xml:space="preserve">To access the maps, navigate to the </w:t>
      </w:r>
      <w:r w:rsidR="0022319E">
        <w:t>Geo</w:t>
      </w:r>
      <w:r w:rsidR="009E6682">
        <w:t>s</w:t>
      </w:r>
      <w:r w:rsidR="0022319E">
        <w:t xml:space="preserve">patial </w:t>
      </w:r>
      <w:proofErr w:type="gramStart"/>
      <w:r w:rsidR="00D81418">
        <w:t>insights</w:t>
      </w:r>
      <w:proofErr w:type="gramEnd"/>
      <w:r w:rsidRPr="003060E0">
        <w:t xml:space="preserve"> section</w:t>
      </w:r>
      <w:r w:rsidR="00D81418">
        <w:t>s</w:t>
      </w:r>
      <w:r w:rsidRPr="003060E0">
        <w:t xml:space="preserve"> within the Expected Trends Provider Dashboard. This section will display </w:t>
      </w:r>
      <w:r w:rsidR="0022319E">
        <w:t>the</w:t>
      </w:r>
      <w:r w:rsidRPr="003060E0">
        <w:t xml:space="preserve"> geographical indicator and data points.</w:t>
      </w:r>
    </w:p>
    <w:p w14:paraId="478DC646" w14:textId="61EC7BDF" w:rsidR="003060E0" w:rsidRPr="003060E0" w:rsidRDefault="00D81418" w:rsidP="003060E0">
      <w:r>
        <w:t xml:space="preserve">For an example, </w:t>
      </w:r>
      <w:r w:rsidR="00252963">
        <w:t>t</w:t>
      </w:r>
      <w:r w:rsidR="003060E0" w:rsidRPr="003060E0">
        <w:t xml:space="preserve">he maps </w:t>
      </w:r>
      <w:r>
        <w:t xml:space="preserve">in provider geospatial insights page </w:t>
      </w:r>
      <w:r w:rsidR="003060E0" w:rsidRPr="003060E0">
        <w:t>include the E477 Delivery Location as the primary geographical indicator. This indicator helps in understanding the distribution of students across different regions.</w:t>
      </w:r>
    </w:p>
    <w:p w14:paraId="24FC414D" w14:textId="17592654" w:rsidR="003060E0" w:rsidRPr="003060E0" w:rsidRDefault="003060E0" w:rsidP="003060E0">
      <w:r w:rsidRPr="003060E0">
        <w:t xml:space="preserve">You can interact with the maps by zooming in and </w:t>
      </w:r>
      <w:r w:rsidR="00252963" w:rsidRPr="003060E0">
        <w:t>out and</w:t>
      </w:r>
      <w:r w:rsidRPr="003060E0">
        <w:t xml:space="preserve"> clicking on specific regions to view detailed information. The maps are designed to be user-friendly and provide a comprehensive view of the data.</w:t>
      </w:r>
    </w:p>
    <w:p w14:paraId="7C61E097" w14:textId="3A403FC0" w:rsidR="003060E0" w:rsidRPr="003060E0" w:rsidRDefault="003060E0" w:rsidP="003060E0">
      <w:r w:rsidRPr="003060E0">
        <w:t xml:space="preserve">Use the filters available on the dashboard to narrow down the data displayed on the maps. You can filter by various criteria such as </w:t>
      </w:r>
      <w:r w:rsidR="00252963">
        <w:t>commencing status</w:t>
      </w:r>
      <w:r w:rsidRPr="003060E0">
        <w:t xml:space="preserve">, </w:t>
      </w:r>
      <w:r w:rsidR="00252963">
        <w:t xml:space="preserve">citizenship, </w:t>
      </w:r>
      <w:r w:rsidRPr="003060E0">
        <w:t>course</w:t>
      </w:r>
      <w:r w:rsidR="005D2EB7">
        <w:t xml:space="preserve"> level</w:t>
      </w:r>
      <w:r w:rsidRPr="003060E0">
        <w:t xml:space="preserve">, and </w:t>
      </w:r>
      <w:r w:rsidR="0022319E">
        <w:t>broad field of education</w:t>
      </w:r>
      <w:r w:rsidRPr="003060E0">
        <w:t xml:space="preserve"> to get a more focused view of the data.</w:t>
      </w:r>
    </w:p>
    <w:p w14:paraId="51F1F4D8" w14:textId="31A9B7A1" w:rsidR="003060E0" w:rsidRPr="003060E0" w:rsidRDefault="003060E0" w:rsidP="003060E0">
      <w:r w:rsidRPr="003060E0">
        <w:t>Each data point on the map represents a specific metric related to student enrolment</w:t>
      </w:r>
      <w:r w:rsidR="00252963">
        <w:t>/load</w:t>
      </w:r>
      <w:r w:rsidRPr="003060E0">
        <w:t>. For example, a data point might represent the number of students from a particular region or the distribution of students across different campuses.</w:t>
      </w:r>
    </w:p>
    <w:p w14:paraId="6DE804B8" w14:textId="22B85BE0" w:rsidR="00DE3529" w:rsidRDefault="001C4C6E" w:rsidP="003060E0">
      <w:r>
        <w:rPr>
          <w:noProof/>
        </w:rPr>
        <w:lastRenderedPageBreak/>
        <w:drawing>
          <wp:inline distT="0" distB="0" distL="0" distR="0" wp14:anchorId="54C0B752" wp14:editId="4B1D73E8">
            <wp:extent cx="4362450" cy="4445000"/>
            <wp:effectExtent l="38100" t="38100" r="38100" b="31750"/>
            <wp:docPr id="1631784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4445000"/>
                    </a:xfrm>
                    <a:prstGeom prst="rect">
                      <a:avLst/>
                    </a:prstGeom>
                    <a:noFill/>
                    <a:ln w="28575">
                      <a:solidFill>
                        <a:schemeClr val="tx1"/>
                      </a:solidFill>
                    </a:ln>
                  </pic:spPr>
                </pic:pic>
              </a:graphicData>
            </a:graphic>
          </wp:inline>
        </w:drawing>
      </w:r>
    </w:p>
    <w:p w14:paraId="7A80E7D7" w14:textId="4531B98A" w:rsidR="003060E0" w:rsidRPr="003060E0" w:rsidRDefault="003060E0" w:rsidP="00E326F3">
      <w:pPr>
        <w:pStyle w:val="Heading3"/>
        <w:numPr>
          <w:ilvl w:val="0"/>
          <w:numId w:val="20"/>
        </w:numPr>
        <w:tabs>
          <w:tab w:val="clear" w:pos="720"/>
          <w:tab w:val="num" w:pos="284"/>
        </w:tabs>
        <w:ind w:left="284" w:hanging="284"/>
      </w:pPr>
      <w:bookmarkStart w:id="8" w:name="_Toc197599239"/>
      <w:r w:rsidRPr="003060E0">
        <w:t>Primary vs. All Campus Locations for Headcounts</w:t>
      </w:r>
      <w:bookmarkEnd w:id="8"/>
    </w:p>
    <w:p w14:paraId="3E4B13CC" w14:textId="77777777" w:rsidR="003060E0" w:rsidRPr="003060E0" w:rsidRDefault="003060E0" w:rsidP="003060E0">
      <w:r w:rsidRPr="003060E0">
        <w:t>When interpreting headcount data, it's important to understand the difference between Primary and All Campus locations:</w:t>
      </w:r>
    </w:p>
    <w:p w14:paraId="61435A24" w14:textId="77777777" w:rsidR="003060E0" w:rsidRDefault="003060E0" w:rsidP="003060E0">
      <w:pPr>
        <w:numPr>
          <w:ilvl w:val="0"/>
          <w:numId w:val="12"/>
        </w:numPr>
      </w:pPr>
      <w:r w:rsidRPr="003060E0">
        <w:rPr>
          <w:b/>
          <w:bCs/>
        </w:rPr>
        <w:t>Primary Campus Location</w:t>
      </w:r>
      <w:r w:rsidRPr="003060E0">
        <w:t>: This refers to the main campus where a student is primarily enrolled. Headcounts based on the primary campus location will count each student only once, based on their main campus of enrolment.</w:t>
      </w:r>
    </w:p>
    <w:p w14:paraId="082A9505" w14:textId="77777777" w:rsidR="00523167" w:rsidRDefault="00523167" w:rsidP="00523167">
      <w:pPr>
        <w:numPr>
          <w:ilvl w:val="0"/>
          <w:numId w:val="12"/>
        </w:numPr>
        <w:spacing w:after="0" w:line="240" w:lineRule="auto"/>
        <w:rPr>
          <w:rFonts w:eastAsia="Times New Roman"/>
        </w:rPr>
      </w:pPr>
      <w:r>
        <w:rPr>
          <w:rFonts w:eastAsia="Times New Roman"/>
          <w:b/>
          <w:bCs/>
        </w:rPr>
        <w:t>All Campus Locations</w:t>
      </w:r>
      <w:r>
        <w:rPr>
          <w:rFonts w:eastAsia="Times New Roman"/>
        </w:rPr>
        <w:t>: This includes all campuses where a student is enrolled. Headcounts based on all campus locations may count a student multiple times if they are enrolled in courses at multiple campuses. This approach provides a more comprehensive view of student distribution across all campuses but may result in higher total counts due to multiple enrolments. (Insert snip)</w:t>
      </w:r>
    </w:p>
    <w:p w14:paraId="441E7791" w14:textId="2B08F591" w:rsidR="00DE3529" w:rsidRDefault="00DE3529" w:rsidP="00DE3529"/>
    <w:p w14:paraId="468FF9BE" w14:textId="6BE5CBFC" w:rsidR="00252963" w:rsidRDefault="00252963" w:rsidP="00E326F3">
      <w:pPr>
        <w:pStyle w:val="Heading3"/>
        <w:numPr>
          <w:ilvl w:val="0"/>
          <w:numId w:val="20"/>
        </w:numPr>
        <w:tabs>
          <w:tab w:val="clear" w:pos="720"/>
          <w:tab w:val="num" w:pos="284"/>
        </w:tabs>
        <w:ind w:left="284" w:hanging="284"/>
      </w:pPr>
      <w:bookmarkStart w:id="9" w:name="_Toc197599240"/>
      <w:r>
        <w:t>Year to Date</w:t>
      </w:r>
      <w:bookmarkEnd w:id="9"/>
    </w:p>
    <w:p w14:paraId="5C50079B" w14:textId="77777777" w:rsidR="00A81CB8" w:rsidRDefault="00A4284A" w:rsidP="00A81CB8">
      <w:pPr>
        <w:jc w:val="both"/>
      </w:pPr>
      <w:r>
        <w:t xml:space="preserve">The Year to Date section </w:t>
      </w:r>
      <w:r w:rsidRPr="00434691">
        <w:t xml:space="preserve">of the Expected Trends Provider Dashboard </w:t>
      </w:r>
      <w:r w:rsidR="00A81CB8">
        <w:t>represents the period from the start of the year to a later date of choice within that same year and compared to the same period for the previous year.</w:t>
      </w:r>
    </w:p>
    <w:p w14:paraId="457E7515" w14:textId="50831521" w:rsidR="00A81CB8" w:rsidRDefault="00A81CB8" w:rsidP="00A81CB8">
      <w:r w:rsidRPr="00434691">
        <w:t xml:space="preserve">To access the </w:t>
      </w:r>
      <w:r>
        <w:t>Year to Date</w:t>
      </w:r>
      <w:r w:rsidRPr="00434691">
        <w:t>, navigate to the "</w:t>
      </w:r>
      <w:r>
        <w:t>Year to Date</w:t>
      </w:r>
      <w:r w:rsidRPr="00434691">
        <w:t xml:space="preserve">" section within the Expected Trends Provider Dashboard. This section will display various metrics related to </w:t>
      </w:r>
      <w:r>
        <w:t>Year to Date live and verified data.</w:t>
      </w:r>
    </w:p>
    <w:p w14:paraId="37C685F4" w14:textId="097C740A" w:rsidR="000E4DBD" w:rsidRPr="00434691" w:rsidRDefault="000E4DBD" w:rsidP="00A81CB8">
      <w:r>
        <w:rPr>
          <w:noProof/>
        </w:rPr>
        <w:lastRenderedPageBreak/>
        <w:drawing>
          <wp:inline distT="0" distB="0" distL="0" distR="0" wp14:anchorId="553FC998" wp14:editId="132D3056">
            <wp:extent cx="5727700" cy="3105150"/>
            <wp:effectExtent l="38100" t="38100" r="44450" b="38100"/>
            <wp:docPr id="120848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3105150"/>
                    </a:xfrm>
                    <a:prstGeom prst="rect">
                      <a:avLst/>
                    </a:prstGeom>
                    <a:noFill/>
                    <a:ln w="28575">
                      <a:solidFill>
                        <a:schemeClr val="tx1"/>
                      </a:solidFill>
                    </a:ln>
                  </pic:spPr>
                </pic:pic>
              </a:graphicData>
            </a:graphic>
          </wp:inline>
        </w:drawing>
      </w:r>
    </w:p>
    <w:p w14:paraId="1F8A33EA" w14:textId="7E4C32E7" w:rsidR="00A81CB8" w:rsidRDefault="00A81CB8" w:rsidP="00A81CB8">
      <w:pPr>
        <w:jc w:val="both"/>
      </w:pPr>
      <w:r>
        <w:t xml:space="preserve">YTD Insights </w:t>
      </w:r>
      <w:r w:rsidR="000E4DBD">
        <w:t>shows</w:t>
      </w:r>
      <w:r>
        <w:t xml:space="preserve"> live</w:t>
      </w:r>
      <w:r w:rsidR="004E04EC">
        <w:t xml:space="preserve"> monthly</w:t>
      </w:r>
      <w:r>
        <w:t xml:space="preserve"> data with the </w:t>
      </w:r>
      <w:r w:rsidR="004E04EC">
        <w:t xml:space="preserve">comparison of the previous year/month data. Select one year at a time from the filter pane to view data correctly. Other filters enable </w:t>
      </w:r>
      <w:r>
        <w:t>to select data by month, broad citizenship and commencing status</w:t>
      </w:r>
      <w:r w:rsidR="004E04EC">
        <w:t>.</w:t>
      </w:r>
    </w:p>
    <w:p w14:paraId="03C93CC1" w14:textId="2A7E6EF8" w:rsidR="004E04EC" w:rsidRDefault="00C24F08" w:rsidP="00A81CB8">
      <w:pPr>
        <w:jc w:val="both"/>
      </w:pPr>
      <w:r>
        <w:rPr>
          <w:noProof/>
        </w:rPr>
        <w:drawing>
          <wp:inline distT="0" distB="0" distL="0" distR="0" wp14:anchorId="3E379C6F" wp14:editId="107276BE">
            <wp:extent cx="5731510" cy="2598420"/>
            <wp:effectExtent l="38100" t="38100" r="40640" b="30480"/>
            <wp:docPr id="190146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598420"/>
                    </a:xfrm>
                    <a:prstGeom prst="rect">
                      <a:avLst/>
                    </a:prstGeom>
                    <a:noFill/>
                    <a:ln w="28575">
                      <a:solidFill>
                        <a:schemeClr val="tx1"/>
                      </a:solidFill>
                    </a:ln>
                  </pic:spPr>
                </pic:pic>
              </a:graphicData>
            </a:graphic>
          </wp:inline>
        </w:drawing>
      </w:r>
    </w:p>
    <w:p w14:paraId="39CBAA51" w14:textId="67AEE1F1" w:rsidR="00DB0C41" w:rsidRPr="008455F4" w:rsidRDefault="00DB0C41" w:rsidP="00111908">
      <w:pPr>
        <w:pStyle w:val="Heading3"/>
        <w:numPr>
          <w:ilvl w:val="0"/>
          <w:numId w:val="20"/>
        </w:numPr>
        <w:tabs>
          <w:tab w:val="clear" w:pos="720"/>
          <w:tab w:val="num" w:pos="284"/>
        </w:tabs>
        <w:ind w:left="284" w:hanging="284"/>
      </w:pPr>
      <w:bookmarkStart w:id="10" w:name="_Toc197599241"/>
      <w:r w:rsidRPr="008455F4">
        <w:t>Quality Indicators Section</w:t>
      </w:r>
      <w:bookmarkEnd w:id="10"/>
    </w:p>
    <w:p w14:paraId="005EE005" w14:textId="77777777" w:rsidR="00DB0C41" w:rsidRDefault="00DB0C41" w:rsidP="00DB0C41">
      <w:r w:rsidRPr="008455F4">
        <w:t xml:space="preserve">The Quality Indicators Section in the Expected Trends Provider Dashboard provides insights into various aspects of </w:t>
      </w:r>
      <w:r>
        <w:t xml:space="preserve">live and verified </w:t>
      </w:r>
      <w:r w:rsidRPr="008455F4">
        <w:t>student data quality and reporting</w:t>
      </w:r>
      <w:r>
        <w:t xml:space="preserve">. </w:t>
      </w:r>
      <w:r w:rsidRPr="008455F4">
        <w:t>These indicators help in understanding the accuracy and completeness of the data submitted by providers.</w:t>
      </w:r>
    </w:p>
    <w:p w14:paraId="39E75400" w14:textId="689A5346" w:rsidR="00A4284A" w:rsidRPr="00A4284A" w:rsidRDefault="00434691" w:rsidP="00434691">
      <w:r w:rsidRPr="00434691">
        <w:t xml:space="preserve">The </w:t>
      </w:r>
      <w:r w:rsidR="00A4284A">
        <w:t>Quality</w:t>
      </w:r>
      <w:r w:rsidRPr="00434691">
        <w:t xml:space="preserve"> Indicators include metrics such as</w:t>
      </w:r>
      <w:r w:rsidR="00A4284A">
        <w:t xml:space="preserve"> Course Level, Broad Field of Education/Broad Discipline Groups, Special Courses, Gender and Equity groups.</w:t>
      </w:r>
      <w:r w:rsidRPr="00434691">
        <w:t xml:space="preserve"> </w:t>
      </w:r>
      <w:r w:rsidR="00A4284A" w:rsidRPr="00A4284A">
        <w:t>Use</w:t>
      </w:r>
      <w:r w:rsidR="00A4284A">
        <w:t xml:space="preserve"> the tabs available on the dashboard to select yearly, quarterly or monthly data. </w:t>
      </w:r>
    </w:p>
    <w:p w14:paraId="013DA5B7" w14:textId="5349D8E9" w:rsidR="00434691" w:rsidRPr="00434691" w:rsidRDefault="00A4284A" w:rsidP="00434691">
      <w:r>
        <w:t>F</w:t>
      </w:r>
      <w:r w:rsidR="00434691" w:rsidRPr="00434691">
        <w:t xml:space="preserve">ilters available on the dashboard </w:t>
      </w:r>
      <w:r>
        <w:t xml:space="preserve">enable you to </w:t>
      </w:r>
      <w:r w:rsidR="00434691" w:rsidRPr="00434691">
        <w:t xml:space="preserve">narrow down the data displayed for each </w:t>
      </w:r>
      <w:r>
        <w:t>Quality</w:t>
      </w:r>
      <w:r w:rsidR="00434691" w:rsidRPr="00434691">
        <w:t xml:space="preserve"> indicator. You can filter by various criteria such as</w:t>
      </w:r>
      <w:r>
        <w:t xml:space="preserve"> citizenship</w:t>
      </w:r>
      <w:r w:rsidR="00434691" w:rsidRPr="00434691">
        <w:t>, course</w:t>
      </w:r>
      <w:r w:rsidR="00D17228">
        <w:t xml:space="preserve"> level</w:t>
      </w:r>
      <w:r w:rsidR="00434691" w:rsidRPr="00434691">
        <w:t xml:space="preserve">, and </w:t>
      </w:r>
      <w:r w:rsidR="00D17228">
        <w:t>gender</w:t>
      </w:r>
      <w:r w:rsidR="00434691" w:rsidRPr="00434691">
        <w:t xml:space="preserve"> to get a more focused view of the data.</w:t>
      </w:r>
    </w:p>
    <w:p w14:paraId="350B130E" w14:textId="6C21C9F2" w:rsidR="00434691" w:rsidRPr="00434691" w:rsidRDefault="00434691" w:rsidP="00434691">
      <w:r w:rsidRPr="00434691">
        <w:lastRenderedPageBreak/>
        <w:t xml:space="preserve">The </w:t>
      </w:r>
      <w:r w:rsidR="00A4284A">
        <w:t>Quality</w:t>
      </w:r>
      <w:r w:rsidRPr="00434691">
        <w:t xml:space="preserve"> Indicators section allows you to </w:t>
      </w:r>
      <w:r w:rsidR="00D17228" w:rsidRPr="00434691">
        <w:t>analyse</w:t>
      </w:r>
      <w:r w:rsidRPr="00434691">
        <w:t xml:space="preserve"> trends over time by displaying historical data. This can help in identifying patterns and making data-driven decisions.</w:t>
      </w:r>
    </w:p>
    <w:p w14:paraId="694C7C21" w14:textId="5C485DDF" w:rsidR="00C24F08" w:rsidRPr="008455F4" w:rsidRDefault="00C24F08" w:rsidP="008455F4">
      <w:r>
        <w:rPr>
          <w:noProof/>
        </w:rPr>
        <w:drawing>
          <wp:inline distT="0" distB="0" distL="0" distR="0" wp14:anchorId="4E141FF8" wp14:editId="33564A70">
            <wp:extent cx="5721350" cy="2686050"/>
            <wp:effectExtent l="0" t="0" r="0" b="0"/>
            <wp:docPr id="1608070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350" cy="2686050"/>
                    </a:xfrm>
                    <a:prstGeom prst="rect">
                      <a:avLst/>
                    </a:prstGeom>
                    <a:noFill/>
                    <a:ln>
                      <a:noFill/>
                    </a:ln>
                  </pic:spPr>
                </pic:pic>
              </a:graphicData>
            </a:graphic>
          </wp:inline>
        </w:drawing>
      </w:r>
    </w:p>
    <w:p w14:paraId="26885EAE" w14:textId="336DC6D8" w:rsidR="00434691" w:rsidRPr="00434691" w:rsidRDefault="00434691" w:rsidP="00111908">
      <w:pPr>
        <w:pStyle w:val="Heading3"/>
        <w:numPr>
          <w:ilvl w:val="0"/>
          <w:numId w:val="20"/>
        </w:numPr>
        <w:tabs>
          <w:tab w:val="clear" w:pos="720"/>
          <w:tab w:val="num" w:pos="284"/>
        </w:tabs>
        <w:ind w:left="284" w:hanging="284"/>
      </w:pPr>
      <w:bookmarkStart w:id="11" w:name="_Toc197599242"/>
      <w:r w:rsidRPr="00434691">
        <w:t>Live and Verified Definitions</w:t>
      </w:r>
      <w:bookmarkEnd w:id="11"/>
    </w:p>
    <w:p w14:paraId="58A4FA36" w14:textId="77777777" w:rsidR="00434691" w:rsidRPr="00434691" w:rsidRDefault="00434691" w:rsidP="00434691">
      <w:r w:rsidRPr="00434691">
        <w:t>The dashboard provides both live and verified data measures:</w:t>
      </w:r>
    </w:p>
    <w:p w14:paraId="4C1FC644" w14:textId="6D8BE1E4" w:rsidR="00434691" w:rsidRPr="00434691" w:rsidRDefault="00434691" w:rsidP="00434691">
      <w:pPr>
        <w:numPr>
          <w:ilvl w:val="0"/>
          <w:numId w:val="13"/>
        </w:numPr>
      </w:pPr>
      <w:r w:rsidRPr="00434691">
        <w:rPr>
          <w:b/>
          <w:bCs/>
        </w:rPr>
        <w:t>Live Data</w:t>
      </w:r>
      <w:r w:rsidRPr="00434691">
        <w:t>: This refers to the most current data available, which is continuously updated to reflect real-time changes. Live data provides an up-to-date snapshot of the metrics being tracked.</w:t>
      </w:r>
      <w:r w:rsidR="004E04EC">
        <w:t xml:space="preserve"> For live data, enrolments with future census dates are excluded from this report.</w:t>
      </w:r>
    </w:p>
    <w:p w14:paraId="7A05FC5C" w14:textId="77777777" w:rsidR="00434691" w:rsidRPr="00434691" w:rsidRDefault="00434691" w:rsidP="00434691">
      <w:pPr>
        <w:numPr>
          <w:ilvl w:val="0"/>
          <w:numId w:val="13"/>
        </w:numPr>
      </w:pPr>
      <w:r w:rsidRPr="00434691">
        <w:rPr>
          <w:b/>
          <w:bCs/>
        </w:rPr>
        <w:t>Verified Data</w:t>
      </w:r>
      <w:r w:rsidRPr="00434691">
        <w:t>: This refers to data that has been reviewed and confirmed for accuracy. Verified data is typically used for official reporting and analysis, as it has undergone a validation process to ensure its reliability.</w:t>
      </w:r>
    </w:p>
    <w:p w14:paraId="52AF5792" w14:textId="61BA9DA2" w:rsidR="00434691" w:rsidRDefault="00434691" w:rsidP="00434691">
      <w:r w:rsidRPr="00434691">
        <w:t>By understanding the difference between live and verified data, you can make more informed decisions based on the most accurate and current information available.</w:t>
      </w:r>
    </w:p>
    <w:p w14:paraId="6E752231" w14:textId="77777777" w:rsidR="00D17228" w:rsidRPr="00434691" w:rsidRDefault="00D17228" w:rsidP="00434691"/>
    <w:p w14:paraId="005441DC" w14:textId="39DE986F" w:rsidR="00A963D9" w:rsidRPr="00A963D9" w:rsidRDefault="00A963D9" w:rsidP="00111908">
      <w:pPr>
        <w:pStyle w:val="Heading3"/>
        <w:numPr>
          <w:ilvl w:val="0"/>
          <w:numId w:val="20"/>
        </w:numPr>
        <w:tabs>
          <w:tab w:val="clear" w:pos="720"/>
          <w:tab w:val="num" w:pos="567"/>
        </w:tabs>
        <w:ind w:left="284" w:hanging="284"/>
      </w:pPr>
      <w:bookmarkStart w:id="12" w:name="_Toc197599243"/>
      <w:r w:rsidRPr="00A963D9">
        <w:t>Reporting Issues</w:t>
      </w:r>
      <w:bookmarkEnd w:id="12"/>
    </w:p>
    <w:p w14:paraId="3B6F44A7" w14:textId="267D731D" w:rsidR="00A963D9" w:rsidRPr="00A963D9" w:rsidRDefault="00A963D9" w:rsidP="00A963D9">
      <w:pPr>
        <w:numPr>
          <w:ilvl w:val="0"/>
          <w:numId w:val="7"/>
        </w:numPr>
      </w:pPr>
      <w:r w:rsidRPr="00A963D9">
        <w:rPr>
          <w:b/>
          <w:bCs/>
        </w:rPr>
        <w:t>Identify Discrepancies</w:t>
      </w:r>
      <w:r w:rsidRPr="00A963D9">
        <w:t xml:space="preserve">: If you encounter any issues or discrepancies in the data, report them to </w:t>
      </w:r>
      <w:r w:rsidR="0017436D">
        <w:t>TCSI.renewal@education.gov.au</w:t>
      </w:r>
      <w:r w:rsidRPr="00A963D9">
        <w:t>.</w:t>
      </w:r>
    </w:p>
    <w:p w14:paraId="5A0432D4" w14:textId="00091530" w:rsidR="00182E3E" w:rsidRDefault="00A963D9" w:rsidP="0017436D">
      <w:pPr>
        <w:numPr>
          <w:ilvl w:val="0"/>
          <w:numId w:val="7"/>
        </w:numPr>
      </w:pPr>
      <w:r w:rsidRPr="00A963D9">
        <w:rPr>
          <w:b/>
          <w:bCs/>
        </w:rPr>
        <w:t>Provide Details</w:t>
      </w:r>
      <w:r w:rsidRPr="00A963D9">
        <w:t>: Include specific details about the issue to help with troubleshooting.</w:t>
      </w:r>
    </w:p>
    <w:sectPr w:rsidR="00182E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EFA26" w14:textId="77777777" w:rsidR="00391EA0" w:rsidRDefault="00391EA0" w:rsidP="00391EA0">
      <w:pPr>
        <w:spacing w:after="0" w:line="240" w:lineRule="auto"/>
      </w:pPr>
      <w:r>
        <w:separator/>
      </w:r>
    </w:p>
  </w:endnote>
  <w:endnote w:type="continuationSeparator" w:id="0">
    <w:p w14:paraId="27603F33" w14:textId="77777777" w:rsidR="00391EA0" w:rsidRDefault="00391EA0" w:rsidP="0039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8F94D" w14:textId="77777777" w:rsidR="00391EA0" w:rsidRDefault="00391EA0" w:rsidP="00391EA0">
      <w:pPr>
        <w:spacing w:after="0" w:line="240" w:lineRule="auto"/>
      </w:pPr>
      <w:r>
        <w:separator/>
      </w:r>
    </w:p>
  </w:footnote>
  <w:footnote w:type="continuationSeparator" w:id="0">
    <w:p w14:paraId="0DE32EAC" w14:textId="77777777" w:rsidR="00391EA0" w:rsidRDefault="00391EA0" w:rsidP="00391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100712"/>
      <w:docPartObj>
        <w:docPartGallery w:val="Page Numbers (Top of Page)"/>
        <w:docPartUnique/>
      </w:docPartObj>
    </w:sdtPr>
    <w:sdtEndPr>
      <w:rPr>
        <w:noProof/>
      </w:rPr>
    </w:sdtEndPr>
    <w:sdtContent>
      <w:p w14:paraId="33356129" w14:textId="0394C081" w:rsidR="00391EA0" w:rsidRDefault="00391E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F68BF3" w14:textId="77777777" w:rsidR="00391EA0" w:rsidRDefault="00391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0D86"/>
    <w:multiLevelType w:val="hybridMultilevel"/>
    <w:tmpl w:val="E8EA123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4815495"/>
    <w:multiLevelType w:val="hybridMultilevel"/>
    <w:tmpl w:val="A2C873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3F375A"/>
    <w:multiLevelType w:val="multilevel"/>
    <w:tmpl w:val="560A4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7F438E"/>
    <w:multiLevelType w:val="multilevel"/>
    <w:tmpl w:val="C5BE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463EA"/>
    <w:multiLevelType w:val="multilevel"/>
    <w:tmpl w:val="C2F0F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B47F15"/>
    <w:multiLevelType w:val="multilevel"/>
    <w:tmpl w:val="42E6F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B06878"/>
    <w:multiLevelType w:val="multilevel"/>
    <w:tmpl w:val="19785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E5DCC"/>
    <w:multiLevelType w:val="multilevel"/>
    <w:tmpl w:val="6E5E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324ED0"/>
    <w:multiLevelType w:val="multilevel"/>
    <w:tmpl w:val="8360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53260"/>
    <w:multiLevelType w:val="multilevel"/>
    <w:tmpl w:val="76145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897A34"/>
    <w:multiLevelType w:val="multilevel"/>
    <w:tmpl w:val="CDDE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102769"/>
    <w:multiLevelType w:val="multilevel"/>
    <w:tmpl w:val="6110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83D17"/>
    <w:multiLevelType w:val="multilevel"/>
    <w:tmpl w:val="AD425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771B36"/>
    <w:multiLevelType w:val="multilevel"/>
    <w:tmpl w:val="4700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AD30FD"/>
    <w:multiLevelType w:val="multilevel"/>
    <w:tmpl w:val="19B48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F3A41"/>
    <w:multiLevelType w:val="multilevel"/>
    <w:tmpl w:val="38A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1F07F6"/>
    <w:multiLevelType w:val="multilevel"/>
    <w:tmpl w:val="22F6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90EED"/>
    <w:multiLevelType w:val="multilevel"/>
    <w:tmpl w:val="9BA6D0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B22EE9"/>
    <w:multiLevelType w:val="multilevel"/>
    <w:tmpl w:val="A71A0DF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478063948">
    <w:abstractNumId w:val="7"/>
  </w:num>
  <w:num w:numId="2" w16cid:durableId="1347707811">
    <w:abstractNumId w:val="17"/>
  </w:num>
  <w:num w:numId="3" w16cid:durableId="955940283">
    <w:abstractNumId w:val="4"/>
  </w:num>
  <w:num w:numId="4" w16cid:durableId="808401911">
    <w:abstractNumId w:val="9"/>
  </w:num>
  <w:num w:numId="5" w16cid:durableId="1298335629">
    <w:abstractNumId w:val="5"/>
  </w:num>
  <w:num w:numId="6" w16cid:durableId="91973482">
    <w:abstractNumId w:val="10"/>
  </w:num>
  <w:num w:numId="7" w16cid:durableId="1160464754">
    <w:abstractNumId w:val="2"/>
  </w:num>
  <w:num w:numId="8" w16cid:durableId="394011763">
    <w:abstractNumId w:val="15"/>
  </w:num>
  <w:num w:numId="9" w16cid:durableId="959145497">
    <w:abstractNumId w:val="14"/>
  </w:num>
  <w:num w:numId="10" w16cid:durableId="610431326">
    <w:abstractNumId w:val="12"/>
  </w:num>
  <w:num w:numId="11" w16cid:durableId="204686193">
    <w:abstractNumId w:val="6"/>
  </w:num>
  <w:num w:numId="12" w16cid:durableId="1685783952">
    <w:abstractNumId w:val="8"/>
  </w:num>
  <w:num w:numId="13" w16cid:durableId="2116947199">
    <w:abstractNumId w:val="3"/>
  </w:num>
  <w:num w:numId="14" w16cid:durableId="184831774">
    <w:abstractNumId w:val="0"/>
  </w:num>
  <w:num w:numId="15" w16cid:durableId="1135216405">
    <w:abstractNumId w:val="16"/>
  </w:num>
  <w:num w:numId="16" w16cid:durableId="1349454219">
    <w:abstractNumId w:val="8"/>
  </w:num>
  <w:num w:numId="17" w16cid:durableId="489058904">
    <w:abstractNumId w:val="13"/>
  </w:num>
  <w:num w:numId="18" w16cid:durableId="116990992">
    <w:abstractNumId w:val="11"/>
  </w:num>
  <w:num w:numId="19" w16cid:durableId="2053730653">
    <w:abstractNumId w:val="1"/>
  </w:num>
  <w:num w:numId="20" w16cid:durableId="21237218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3D9"/>
    <w:rsid w:val="000B3C12"/>
    <w:rsid w:val="000E4DBD"/>
    <w:rsid w:val="000F35BB"/>
    <w:rsid w:val="00111908"/>
    <w:rsid w:val="00172415"/>
    <w:rsid w:val="0017436D"/>
    <w:rsid w:val="00182E3E"/>
    <w:rsid w:val="00194B2C"/>
    <w:rsid w:val="001B6314"/>
    <w:rsid w:val="001C4C6E"/>
    <w:rsid w:val="0022319E"/>
    <w:rsid w:val="00252963"/>
    <w:rsid w:val="0029104B"/>
    <w:rsid w:val="003060E0"/>
    <w:rsid w:val="003204C9"/>
    <w:rsid w:val="0032583E"/>
    <w:rsid w:val="00354A7A"/>
    <w:rsid w:val="00362616"/>
    <w:rsid w:val="00391EA0"/>
    <w:rsid w:val="0039420A"/>
    <w:rsid w:val="00394C15"/>
    <w:rsid w:val="003A3CBF"/>
    <w:rsid w:val="003B0A8D"/>
    <w:rsid w:val="003B51AC"/>
    <w:rsid w:val="00414ABF"/>
    <w:rsid w:val="0041740A"/>
    <w:rsid w:val="00434691"/>
    <w:rsid w:val="00452D24"/>
    <w:rsid w:val="00467B6C"/>
    <w:rsid w:val="00470A5D"/>
    <w:rsid w:val="00491EA7"/>
    <w:rsid w:val="004E04EC"/>
    <w:rsid w:val="004F3079"/>
    <w:rsid w:val="00514A32"/>
    <w:rsid w:val="00523167"/>
    <w:rsid w:val="00581E8F"/>
    <w:rsid w:val="005D2EB7"/>
    <w:rsid w:val="005D6AC4"/>
    <w:rsid w:val="005E3D0B"/>
    <w:rsid w:val="006021A1"/>
    <w:rsid w:val="00695646"/>
    <w:rsid w:val="006B0A94"/>
    <w:rsid w:val="00726D02"/>
    <w:rsid w:val="00737771"/>
    <w:rsid w:val="0074562D"/>
    <w:rsid w:val="007518C9"/>
    <w:rsid w:val="00783151"/>
    <w:rsid w:val="007A595F"/>
    <w:rsid w:val="007B2630"/>
    <w:rsid w:val="00805A4F"/>
    <w:rsid w:val="008447FC"/>
    <w:rsid w:val="008455F4"/>
    <w:rsid w:val="00856B4C"/>
    <w:rsid w:val="00882BE8"/>
    <w:rsid w:val="00887145"/>
    <w:rsid w:val="00980ECA"/>
    <w:rsid w:val="009C4206"/>
    <w:rsid w:val="009E6682"/>
    <w:rsid w:val="009F4CC1"/>
    <w:rsid w:val="00A4284A"/>
    <w:rsid w:val="00A81CB8"/>
    <w:rsid w:val="00A963D9"/>
    <w:rsid w:val="00AA6D47"/>
    <w:rsid w:val="00B9234E"/>
    <w:rsid w:val="00BC0121"/>
    <w:rsid w:val="00BC6567"/>
    <w:rsid w:val="00BE7F23"/>
    <w:rsid w:val="00C24F08"/>
    <w:rsid w:val="00C47645"/>
    <w:rsid w:val="00D01B28"/>
    <w:rsid w:val="00D17228"/>
    <w:rsid w:val="00D81418"/>
    <w:rsid w:val="00D82675"/>
    <w:rsid w:val="00DB0C41"/>
    <w:rsid w:val="00DE3529"/>
    <w:rsid w:val="00E326F3"/>
    <w:rsid w:val="00EA39F4"/>
    <w:rsid w:val="00EE73DE"/>
    <w:rsid w:val="00EF4C6B"/>
    <w:rsid w:val="00F22633"/>
    <w:rsid w:val="00FB2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8A8EB"/>
  <w15:chartTrackingRefBased/>
  <w15:docId w15:val="{D7B91F3C-1BCE-4E2D-B051-EDDD2665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96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63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63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3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3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3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3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3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3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963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63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63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3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3D9"/>
    <w:rPr>
      <w:rFonts w:eastAsiaTheme="majorEastAsia" w:cstheme="majorBidi"/>
      <w:color w:val="272727" w:themeColor="text1" w:themeTint="D8"/>
    </w:rPr>
  </w:style>
  <w:style w:type="paragraph" w:styleId="Title">
    <w:name w:val="Title"/>
    <w:basedOn w:val="Normal"/>
    <w:next w:val="Normal"/>
    <w:link w:val="TitleChar"/>
    <w:uiPriority w:val="10"/>
    <w:qFormat/>
    <w:rsid w:val="00A963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3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3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3D9"/>
    <w:pPr>
      <w:spacing w:before="160"/>
      <w:jc w:val="center"/>
    </w:pPr>
    <w:rPr>
      <w:i/>
      <w:iCs/>
      <w:color w:val="404040" w:themeColor="text1" w:themeTint="BF"/>
    </w:rPr>
  </w:style>
  <w:style w:type="character" w:customStyle="1" w:styleId="QuoteChar">
    <w:name w:val="Quote Char"/>
    <w:basedOn w:val="DefaultParagraphFont"/>
    <w:link w:val="Quote"/>
    <w:uiPriority w:val="29"/>
    <w:rsid w:val="00A963D9"/>
    <w:rPr>
      <w:i/>
      <w:iCs/>
      <w:color w:val="404040" w:themeColor="text1" w:themeTint="BF"/>
    </w:rPr>
  </w:style>
  <w:style w:type="paragraph" w:styleId="ListParagraph">
    <w:name w:val="List Paragraph"/>
    <w:basedOn w:val="Normal"/>
    <w:uiPriority w:val="34"/>
    <w:qFormat/>
    <w:rsid w:val="00A963D9"/>
    <w:pPr>
      <w:ind w:left="720"/>
      <w:contextualSpacing/>
    </w:pPr>
  </w:style>
  <w:style w:type="character" w:styleId="IntenseEmphasis">
    <w:name w:val="Intense Emphasis"/>
    <w:basedOn w:val="DefaultParagraphFont"/>
    <w:uiPriority w:val="21"/>
    <w:qFormat/>
    <w:rsid w:val="00A963D9"/>
    <w:rPr>
      <w:i/>
      <w:iCs/>
      <w:color w:val="0F4761" w:themeColor="accent1" w:themeShade="BF"/>
    </w:rPr>
  </w:style>
  <w:style w:type="paragraph" w:styleId="IntenseQuote">
    <w:name w:val="Intense Quote"/>
    <w:basedOn w:val="Normal"/>
    <w:next w:val="Normal"/>
    <w:link w:val="IntenseQuoteChar"/>
    <w:uiPriority w:val="30"/>
    <w:qFormat/>
    <w:rsid w:val="00A96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3D9"/>
    <w:rPr>
      <w:i/>
      <w:iCs/>
      <w:color w:val="0F4761" w:themeColor="accent1" w:themeShade="BF"/>
    </w:rPr>
  </w:style>
  <w:style w:type="character" w:styleId="IntenseReference">
    <w:name w:val="Intense Reference"/>
    <w:basedOn w:val="DefaultParagraphFont"/>
    <w:uiPriority w:val="32"/>
    <w:qFormat/>
    <w:rsid w:val="00A963D9"/>
    <w:rPr>
      <w:b/>
      <w:bCs/>
      <w:smallCaps/>
      <w:color w:val="0F4761" w:themeColor="accent1" w:themeShade="BF"/>
      <w:spacing w:val="5"/>
    </w:rPr>
  </w:style>
  <w:style w:type="character" w:styleId="Hyperlink">
    <w:name w:val="Hyperlink"/>
    <w:basedOn w:val="DefaultParagraphFont"/>
    <w:uiPriority w:val="99"/>
    <w:unhideWhenUsed/>
    <w:rsid w:val="003A3CBF"/>
    <w:rPr>
      <w:color w:val="467886" w:themeColor="hyperlink"/>
      <w:u w:val="single"/>
    </w:rPr>
  </w:style>
  <w:style w:type="character" w:styleId="UnresolvedMention">
    <w:name w:val="Unresolved Mention"/>
    <w:basedOn w:val="DefaultParagraphFont"/>
    <w:uiPriority w:val="99"/>
    <w:semiHidden/>
    <w:unhideWhenUsed/>
    <w:rsid w:val="003A3CBF"/>
    <w:rPr>
      <w:color w:val="605E5C"/>
      <w:shd w:val="clear" w:color="auto" w:fill="E1DFDD"/>
    </w:rPr>
  </w:style>
  <w:style w:type="paragraph" w:styleId="Revision">
    <w:name w:val="Revision"/>
    <w:hidden/>
    <w:uiPriority w:val="99"/>
    <w:semiHidden/>
    <w:rsid w:val="003204C9"/>
    <w:pPr>
      <w:spacing w:after="0" w:line="240" w:lineRule="auto"/>
    </w:pPr>
  </w:style>
  <w:style w:type="paragraph" w:styleId="Header">
    <w:name w:val="header"/>
    <w:basedOn w:val="Normal"/>
    <w:link w:val="HeaderChar"/>
    <w:uiPriority w:val="99"/>
    <w:unhideWhenUsed/>
    <w:rsid w:val="00391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EA0"/>
  </w:style>
  <w:style w:type="paragraph" w:styleId="Footer">
    <w:name w:val="footer"/>
    <w:basedOn w:val="Normal"/>
    <w:link w:val="FooterChar"/>
    <w:uiPriority w:val="99"/>
    <w:unhideWhenUsed/>
    <w:rsid w:val="00391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EA0"/>
  </w:style>
  <w:style w:type="character" w:styleId="PlaceholderText">
    <w:name w:val="Placeholder Text"/>
    <w:basedOn w:val="DefaultParagraphFont"/>
    <w:uiPriority w:val="99"/>
    <w:semiHidden/>
    <w:rsid w:val="006021A1"/>
    <w:rPr>
      <w:color w:val="808080"/>
    </w:rPr>
  </w:style>
  <w:style w:type="paragraph" w:styleId="TOCHeading">
    <w:name w:val="TOC Heading"/>
    <w:basedOn w:val="Heading1"/>
    <w:next w:val="Normal"/>
    <w:uiPriority w:val="39"/>
    <w:unhideWhenUsed/>
    <w:qFormat/>
    <w:rsid w:val="00805A4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05A4F"/>
    <w:pPr>
      <w:spacing w:after="100"/>
    </w:pPr>
  </w:style>
  <w:style w:type="paragraph" w:styleId="TOC3">
    <w:name w:val="toc 3"/>
    <w:basedOn w:val="Normal"/>
    <w:next w:val="Normal"/>
    <w:autoRedefine/>
    <w:uiPriority w:val="39"/>
    <w:unhideWhenUsed/>
    <w:rsid w:val="00805A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153542">
      <w:bodyDiv w:val="1"/>
      <w:marLeft w:val="0"/>
      <w:marRight w:val="0"/>
      <w:marTop w:val="0"/>
      <w:marBottom w:val="0"/>
      <w:divBdr>
        <w:top w:val="none" w:sz="0" w:space="0" w:color="auto"/>
        <w:left w:val="none" w:sz="0" w:space="0" w:color="auto"/>
        <w:bottom w:val="none" w:sz="0" w:space="0" w:color="auto"/>
        <w:right w:val="none" w:sz="0" w:space="0" w:color="auto"/>
      </w:divBdr>
      <w:divsChild>
        <w:div w:id="1302077070">
          <w:marLeft w:val="0"/>
          <w:marRight w:val="0"/>
          <w:marTop w:val="0"/>
          <w:marBottom w:val="0"/>
          <w:divBdr>
            <w:top w:val="none" w:sz="0" w:space="0" w:color="auto"/>
            <w:left w:val="none" w:sz="0" w:space="0" w:color="auto"/>
            <w:bottom w:val="none" w:sz="0" w:space="0" w:color="auto"/>
            <w:right w:val="none" w:sz="0" w:space="0" w:color="auto"/>
          </w:divBdr>
        </w:div>
        <w:div w:id="904072329">
          <w:marLeft w:val="0"/>
          <w:marRight w:val="0"/>
          <w:marTop w:val="0"/>
          <w:marBottom w:val="0"/>
          <w:divBdr>
            <w:top w:val="none" w:sz="0" w:space="0" w:color="auto"/>
            <w:left w:val="none" w:sz="0" w:space="0" w:color="auto"/>
            <w:bottom w:val="none" w:sz="0" w:space="0" w:color="auto"/>
            <w:right w:val="none" w:sz="0" w:space="0" w:color="auto"/>
          </w:divBdr>
        </w:div>
        <w:div w:id="583032642">
          <w:marLeft w:val="0"/>
          <w:marRight w:val="0"/>
          <w:marTop w:val="0"/>
          <w:marBottom w:val="0"/>
          <w:divBdr>
            <w:top w:val="none" w:sz="0" w:space="0" w:color="auto"/>
            <w:left w:val="none" w:sz="0" w:space="0" w:color="auto"/>
            <w:bottom w:val="none" w:sz="0" w:space="0" w:color="auto"/>
            <w:right w:val="none" w:sz="0" w:space="0" w:color="auto"/>
          </w:divBdr>
          <w:divsChild>
            <w:div w:id="2069648090">
              <w:marLeft w:val="0"/>
              <w:marRight w:val="0"/>
              <w:marTop w:val="0"/>
              <w:marBottom w:val="0"/>
              <w:divBdr>
                <w:top w:val="none" w:sz="0" w:space="0" w:color="auto"/>
                <w:left w:val="none" w:sz="0" w:space="0" w:color="auto"/>
                <w:bottom w:val="none" w:sz="0" w:space="0" w:color="auto"/>
                <w:right w:val="none" w:sz="0" w:space="0" w:color="auto"/>
              </w:divBdr>
            </w:div>
            <w:div w:id="4290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5670">
      <w:bodyDiv w:val="1"/>
      <w:marLeft w:val="0"/>
      <w:marRight w:val="0"/>
      <w:marTop w:val="0"/>
      <w:marBottom w:val="0"/>
      <w:divBdr>
        <w:top w:val="none" w:sz="0" w:space="0" w:color="auto"/>
        <w:left w:val="none" w:sz="0" w:space="0" w:color="auto"/>
        <w:bottom w:val="none" w:sz="0" w:space="0" w:color="auto"/>
        <w:right w:val="none" w:sz="0" w:space="0" w:color="auto"/>
      </w:divBdr>
      <w:divsChild>
        <w:div w:id="28651042">
          <w:marLeft w:val="0"/>
          <w:marRight w:val="0"/>
          <w:marTop w:val="0"/>
          <w:marBottom w:val="0"/>
          <w:divBdr>
            <w:top w:val="none" w:sz="0" w:space="0" w:color="auto"/>
            <w:left w:val="none" w:sz="0" w:space="0" w:color="auto"/>
            <w:bottom w:val="none" w:sz="0" w:space="0" w:color="auto"/>
            <w:right w:val="none" w:sz="0" w:space="0" w:color="auto"/>
          </w:divBdr>
        </w:div>
        <w:div w:id="1660380028">
          <w:marLeft w:val="0"/>
          <w:marRight w:val="0"/>
          <w:marTop w:val="0"/>
          <w:marBottom w:val="0"/>
          <w:divBdr>
            <w:top w:val="none" w:sz="0" w:space="0" w:color="auto"/>
            <w:left w:val="none" w:sz="0" w:space="0" w:color="auto"/>
            <w:bottom w:val="none" w:sz="0" w:space="0" w:color="auto"/>
            <w:right w:val="none" w:sz="0" w:space="0" w:color="auto"/>
          </w:divBdr>
        </w:div>
        <w:div w:id="90668491">
          <w:marLeft w:val="0"/>
          <w:marRight w:val="0"/>
          <w:marTop w:val="0"/>
          <w:marBottom w:val="0"/>
          <w:divBdr>
            <w:top w:val="none" w:sz="0" w:space="0" w:color="auto"/>
            <w:left w:val="none" w:sz="0" w:space="0" w:color="auto"/>
            <w:bottom w:val="none" w:sz="0" w:space="0" w:color="auto"/>
            <w:right w:val="none" w:sz="0" w:space="0" w:color="auto"/>
          </w:divBdr>
          <w:divsChild>
            <w:div w:id="557323816">
              <w:marLeft w:val="0"/>
              <w:marRight w:val="0"/>
              <w:marTop w:val="0"/>
              <w:marBottom w:val="0"/>
              <w:divBdr>
                <w:top w:val="none" w:sz="0" w:space="0" w:color="auto"/>
                <w:left w:val="none" w:sz="0" w:space="0" w:color="auto"/>
                <w:bottom w:val="none" w:sz="0" w:space="0" w:color="auto"/>
                <w:right w:val="none" w:sz="0" w:space="0" w:color="auto"/>
              </w:divBdr>
            </w:div>
            <w:div w:id="1232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1085">
      <w:bodyDiv w:val="1"/>
      <w:marLeft w:val="0"/>
      <w:marRight w:val="0"/>
      <w:marTop w:val="0"/>
      <w:marBottom w:val="0"/>
      <w:divBdr>
        <w:top w:val="none" w:sz="0" w:space="0" w:color="auto"/>
        <w:left w:val="none" w:sz="0" w:space="0" w:color="auto"/>
        <w:bottom w:val="none" w:sz="0" w:space="0" w:color="auto"/>
        <w:right w:val="none" w:sz="0" w:space="0" w:color="auto"/>
      </w:divBdr>
      <w:divsChild>
        <w:div w:id="1672487521">
          <w:marLeft w:val="0"/>
          <w:marRight w:val="0"/>
          <w:marTop w:val="0"/>
          <w:marBottom w:val="0"/>
          <w:divBdr>
            <w:top w:val="none" w:sz="0" w:space="0" w:color="auto"/>
            <w:left w:val="none" w:sz="0" w:space="0" w:color="auto"/>
            <w:bottom w:val="none" w:sz="0" w:space="0" w:color="auto"/>
            <w:right w:val="none" w:sz="0" w:space="0" w:color="auto"/>
          </w:divBdr>
        </w:div>
        <w:div w:id="1955478819">
          <w:marLeft w:val="0"/>
          <w:marRight w:val="0"/>
          <w:marTop w:val="0"/>
          <w:marBottom w:val="0"/>
          <w:divBdr>
            <w:top w:val="none" w:sz="0" w:space="0" w:color="auto"/>
            <w:left w:val="none" w:sz="0" w:space="0" w:color="auto"/>
            <w:bottom w:val="none" w:sz="0" w:space="0" w:color="auto"/>
            <w:right w:val="none" w:sz="0" w:space="0" w:color="auto"/>
          </w:divBdr>
        </w:div>
        <w:div w:id="2002270576">
          <w:marLeft w:val="0"/>
          <w:marRight w:val="0"/>
          <w:marTop w:val="0"/>
          <w:marBottom w:val="0"/>
          <w:divBdr>
            <w:top w:val="none" w:sz="0" w:space="0" w:color="auto"/>
            <w:left w:val="none" w:sz="0" w:space="0" w:color="auto"/>
            <w:bottom w:val="none" w:sz="0" w:space="0" w:color="auto"/>
            <w:right w:val="none" w:sz="0" w:space="0" w:color="auto"/>
          </w:divBdr>
          <w:divsChild>
            <w:div w:id="24641662">
              <w:marLeft w:val="0"/>
              <w:marRight w:val="0"/>
              <w:marTop w:val="0"/>
              <w:marBottom w:val="0"/>
              <w:divBdr>
                <w:top w:val="none" w:sz="0" w:space="0" w:color="auto"/>
                <w:left w:val="none" w:sz="0" w:space="0" w:color="auto"/>
                <w:bottom w:val="none" w:sz="0" w:space="0" w:color="auto"/>
                <w:right w:val="none" w:sz="0" w:space="0" w:color="auto"/>
              </w:divBdr>
            </w:div>
            <w:div w:id="1653556329">
              <w:marLeft w:val="0"/>
              <w:marRight w:val="0"/>
              <w:marTop w:val="0"/>
              <w:marBottom w:val="0"/>
              <w:divBdr>
                <w:top w:val="none" w:sz="0" w:space="0" w:color="auto"/>
                <w:left w:val="none" w:sz="0" w:space="0" w:color="auto"/>
                <w:bottom w:val="none" w:sz="0" w:space="0" w:color="auto"/>
                <w:right w:val="none" w:sz="0" w:space="0" w:color="auto"/>
              </w:divBdr>
            </w:div>
            <w:div w:id="25104844">
              <w:marLeft w:val="0"/>
              <w:marRight w:val="0"/>
              <w:marTop w:val="0"/>
              <w:marBottom w:val="0"/>
              <w:divBdr>
                <w:top w:val="none" w:sz="0" w:space="0" w:color="auto"/>
                <w:left w:val="none" w:sz="0" w:space="0" w:color="auto"/>
                <w:bottom w:val="none" w:sz="0" w:space="0" w:color="auto"/>
                <w:right w:val="none" w:sz="0" w:space="0" w:color="auto"/>
              </w:divBdr>
            </w:div>
            <w:div w:id="1571771391">
              <w:marLeft w:val="0"/>
              <w:marRight w:val="0"/>
              <w:marTop w:val="0"/>
              <w:marBottom w:val="0"/>
              <w:divBdr>
                <w:top w:val="none" w:sz="0" w:space="0" w:color="auto"/>
                <w:left w:val="none" w:sz="0" w:space="0" w:color="auto"/>
                <w:bottom w:val="none" w:sz="0" w:space="0" w:color="auto"/>
                <w:right w:val="none" w:sz="0" w:space="0" w:color="auto"/>
              </w:divBdr>
            </w:div>
            <w:div w:id="1856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298">
      <w:bodyDiv w:val="1"/>
      <w:marLeft w:val="0"/>
      <w:marRight w:val="0"/>
      <w:marTop w:val="0"/>
      <w:marBottom w:val="0"/>
      <w:divBdr>
        <w:top w:val="none" w:sz="0" w:space="0" w:color="auto"/>
        <w:left w:val="none" w:sz="0" w:space="0" w:color="auto"/>
        <w:bottom w:val="none" w:sz="0" w:space="0" w:color="auto"/>
        <w:right w:val="none" w:sz="0" w:space="0" w:color="auto"/>
      </w:divBdr>
      <w:divsChild>
        <w:div w:id="717315987">
          <w:marLeft w:val="0"/>
          <w:marRight w:val="0"/>
          <w:marTop w:val="0"/>
          <w:marBottom w:val="0"/>
          <w:divBdr>
            <w:top w:val="none" w:sz="0" w:space="0" w:color="auto"/>
            <w:left w:val="none" w:sz="0" w:space="0" w:color="auto"/>
            <w:bottom w:val="none" w:sz="0" w:space="0" w:color="auto"/>
            <w:right w:val="none" w:sz="0" w:space="0" w:color="auto"/>
          </w:divBdr>
        </w:div>
      </w:divsChild>
    </w:div>
    <w:div w:id="877159880">
      <w:bodyDiv w:val="1"/>
      <w:marLeft w:val="0"/>
      <w:marRight w:val="0"/>
      <w:marTop w:val="0"/>
      <w:marBottom w:val="0"/>
      <w:divBdr>
        <w:top w:val="none" w:sz="0" w:space="0" w:color="auto"/>
        <w:left w:val="none" w:sz="0" w:space="0" w:color="auto"/>
        <w:bottom w:val="none" w:sz="0" w:space="0" w:color="auto"/>
        <w:right w:val="none" w:sz="0" w:space="0" w:color="auto"/>
      </w:divBdr>
      <w:divsChild>
        <w:div w:id="952201717">
          <w:marLeft w:val="0"/>
          <w:marRight w:val="0"/>
          <w:marTop w:val="0"/>
          <w:marBottom w:val="0"/>
          <w:divBdr>
            <w:top w:val="none" w:sz="0" w:space="0" w:color="auto"/>
            <w:left w:val="none" w:sz="0" w:space="0" w:color="auto"/>
            <w:bottom w:val="none" w:sz="0" w:space="0" w:color="auto"/>
            <w:right w:val="none" w:sz="0" w:space="0" w:color="auto"/>
          </w:divBdr>
        </w:div>
        <w:div w:id="1931037255">
          <w:marLeft w:val="0"/>
          <w:marRight w:val="0"/>
          <w:marTop w:val="0"/>
          <w:marBottom w:val="0"/>
          <w:divBdr>
            <w:top w:val="none" w:sz="0" w:space="0" w:color="auto"/>
            <w:left w:val="none" w:sz="0" w:space="0" w:color="auto"/>
            <w:bottom w:val="none" w:sz="0" w:space="0" w:color="auto"/>
            <w:right w:val="none" w:sz="0" w:space="0" w:color="auto"/>
          </w:divBdr>
        </w:div>
        <w:div w:id="1599829685">
          <w:marLeft w:val="0"/>
          <w:marRight w:val="0"/>
          <w:marTop w:val="0"/>
          <w:marBottom w:val="0"/>
          <w:divBdr>
            <w:top w:val="none" w:sz="0" w:space="0" w:color="auto"/>
            <w:left w:val="none" w:sz="0" w:space="0" w:color="auto"/>
            <w:bottom w:val="none" w:sz="0" w:space="0" w:color="auto"/>
            <w:right w:val="none" w:sz="0" w:space="0" w:color="auto"/>
          </w:divBdr>
          <w:divsChild>
            <w:div w:id="506018819">
              <w:marLeft w:val="0"/>
              <w:marRight w:val="0"/>
              <w:marTop w:val="0"/>
              <w:marBottom w:val="0"/>
              <w:divBdr>
                <w:top w:val="none" w:sz="0" w:space="0" w:color="auto"/>
                <w:left w:val="none" w:sz="0" w:space="0" w:color="auto"/>
                <w:bottom w:val="none" w:sz="0" w:space="0" w:color="auto"/>
                <w:right w:val="none" w:sz="0" w:space="0" w:color="auto"/>
              </w:divBdr>
            </w:div>
            <w:div w:id="1273437592">
              <w:marLeft w:val="0"/>
              <w:marRight w:val="0"/>
              <w:marTop w:val="0"/>
              <w:marBottom w:val="0"/>
              <w:divBdr>
                <w:top w:val="none" w:sz="0" w:space="0" w:color="auto"/>
                <w:left w:val="none" w:sz="0" w:space="0" w:color="auto"/>
                <w:bottom w:val="none" w:sz="0" w:space="0" w:color="auto"/>
                <w:right w:val="none" w:sz="0" w:space="0" w:color="auto"/>
              </w:divBdr>
            </w:div>
            <w:div w:id="1910993453">
              <w:marLeft w:val="0"/>
              <w:marRight w:val="0"/>
              <w:marTop w:val="0"/>
              <w:marBottom w:val="0"/>
              <w:divBdr>
                <w:top w:val="none" w:sz="0" w:space="0" w:color="auto"/>
                <w:left w:val="none" w:sz="0" w:space="0" w:color="auto"/>
                <w:bottom w:val="none" w:sz="0" w:space="0" w:color="auto"/>
                <w:right w:val="none" w:sz="0" w:space="0" w:color="auto"/>
              </w:divBdr>
            </w:div>
            <w:div w:id="15386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37773">
      <w:bodyDiv w:val="1"/>
      <w:marLeft w:val="0"/>
      <w:marRight w:val="0"/>
      <w:marTop w:val="0"/>
      <w:marBottom w:val="0"/>
      <w:divBdr>
        <w:top w:val="none" w:sz="0" w:space="0" w:color="auto"/>
        <w:left w:val="none" w:sz="0" w:space="0" w:color="auto"/>
        <w:bottom w:val="none" w:sz="0" w:space="0" w:color="auto"/>
        <w:right w:val="none" w:sz="0" w:space="0" w:color="auto"/>
      </w:divBdr>
      <w:divsChild>
        <w:div w:id="2138060128">
          <w:marLeft w:val="0"/>
          <w:marRight w:val="0"/>
          <w:marTop w:val="0"/>
          <w:marBottom w:val="0"/>
          <w:divBdr>
            <w:top w:val="none" w:sz="0" w:space="0" w:color="auto"/>
            <w:left w:val="none" w:sz="0" w:space="0" w:color="auto"/>
            <w:bottom w:val="none" w:sz="0" w:space="0" w:color="auto"/>
            <w:right w:val="none" w:sz="0" w:space="0" w:color="auto"/>
          </w:divBdr>
        </w:div>
      </w:divsChild>
    </w:div>
    <w:div w:id="935291880">
      <w:bodyDiv w:val="1"/>
      <w:marLeft w:val="0"/>
      <w:marRight w:val="0"/>
      <w:marTop w:val="0"/>
      <w:marBottom w:val="0"/>
      <w:divBdr>
        <w:top w:val="none" w:sz="0" w:space="0" w:color="auto"/>
        <w:left w:val="none" w:sz="0" w:space="0" w:color="auto"/>
        <w:bottom w:val="none" w:sz="0" w:space="0" w:color="auto"/>
        <w:right w:val="none" w:sz="0" w:space="0" w:color="auto"/>
      </w:divBdr>
      <w:divsChild>
        <w:div w:id="1354725696">
          <w:marLeft w:val="0"/>
          <w:marRight w:val="0"/>
          <w:marTop w:val="0"/>
          <w:marBottom w:val="0"/>
          <w:divBdr>
            <w:top w:val="none" w:sz="0" w:space="0" w:color="auto"/>
            <w:left w:val="none" w:sz="0" w:space="0" w:color="auto"/>
            <w:bottom w:val="none" w:sz="0" w:space="0" w:color="auto"/>
            <w:right w:val="none" w:sz="0" w:space="0" w:color="auto"/>
          </w:divBdr>
        </w:div>
      </w:divsChild>
    </w:div>
    <w:div w:id="964388725">
      <w:bodyDiv w:val="1"/>
      <w:marLeft w:val="0"/>
      <w:marRight w:val="0"/>
      <w:marTop w:val="0"/>
      <w:marBottom w:val="0"/>
      <w:divBdr>
        <w:top w:val="none" w:sz="0" w:space="0" w:color="auto"/>
        <w:left w:val="none" w:sz="0" w:space="0" w:color="auto"/>
        <w:bottom w:val="none" w:sz="0" w:space="0" w:color="auto"/>
        <w:right w:val="none" w:sz="0" w:space="0" w:color="auto"/>
      </w:divBdr>
      <w:divsChild>
        <w:div w:id="282856967">
          <w:marLeft w:val="0"/>
          <w:marRight w:val="0"/>
          <w:marTop w:val="0"/>
          <w:marBottom w:val="0"/>
          <w:divBdr>
            <w:top w:val="none" w:sz="0" w:space="0" w:color="auto"/>
            <w:left w:val="none" w:sz="0" w:space="0" w:color="auto"/>
            <w:bottom w:val="none" w:sz="0" w:space="0" w:color="auto"/>
            <w:right w:val="none" w:sz="0" w:space="0" w:color="auto"/>
          </w:divBdr>
        </w:div>
        <w:div w:id="983509528">
          <w:marLeft w:val="0"/>
          <w:marRight w:val="0"/>
          <w:marTop w:val="0"/>
          <w:marBottom w:val="0"/>
          <w:divBdr>
            <w:top w:val="none" w:sz="0" w:space="0" w:color="auto"/>
            <w:left w:val="none" w:sz="0" w:space="0" w:color="auto"/>
            <w:bottom w:val="none" w:sz="0" w:space="0" w:color="auto"/>
            <w:right w:val="none" w:sz="0" w:space="0" w:color="auto"/>
          </w:divBdr>
        </w:div>
        <w:div w:id="603153313">
          <w:marLeft w:val="0"/>
          <w:marRight w:val="0"/>
          <w:marTop w:val="0"/>
          <w:marBottom w:val="0"/>
          <w:divBdr>
            <w:top w:val="none" w:sz="0" w:space="0" w:color="auto"/>
            <w:left w:val="none" w:sz="0" w:space="0" w:color="auto"/>
            <w:bottom w:val="none" w:sz="0" w:space="0" w:color="auto"/>
            <w:right w:val="none" w:sz="0" w:space="0" w:color="auto"/>
          </w:divBdr>
          <w:divsChild>
            <w:div w:id="2048556203">
              <w:marLeft w:val="0"/>
              <w:marRight w:val="0"/>
              <w:marTop w:val="0"/>
              <w:marBottom w:val="0"/>
              <w:divBdr>
                <w:top w:val="none" w:sz="0" w:space="0" w:color="auto"/>
                <w:left w:val="none" w:sz="0" w:space="0" w:color="auto"/>
                <w:bottom w:val="none" w:sz="0" w:space="0" w:color="auto"/>
                <w:right w:val="none" w:sz="0" w:space="0" w:color="auto"/>
              </w:divBdr>
            </w:div>
            <w:div w:id="1330254117">
              <w:marLeft w:val="0"/>
              <w:marRight w:val="0"/>
              <w:marTop w:val="0"/>
              <w:marBottom w:val="0"/>
              <w:divBdr>
                <w:top w:val="none" w:sz="0" w:space="0" w:color="auto"/>
                <w:left w:val="none" w:sz="0" w:space="0" w:color="auto"/>
                <w:bottom w:val="none" w:sz="0" w:space="0" w:color="auto"/>
                <w:right w:val="none" w:sz="0" w:space="0" w:color="auto"/>
              </w:divBdr>
            </w:div>
            <w:div w:id="921836771">
              <w:marLeft w:val="0"/>
              <w:marRight w:val="0"/>
              <w:marTop w:val="0"/>
              <w:marBottom w:val="0"/>
              <w:divBdr>
                <w:top w:val="none" w:sz="0" w:space="0" w:color="auto"/>
                <w:left w:val="none" w:sz="0" w:space="0" w:color="auto"/>
                <w:bottom w:val="none" w:sz="0" w:space="0" w:color="auto"/>
                <w:right w:val="none" w:sz="0" w:space="0" w:color="auto"/>
              </w:divBdr>
            </w:div>
            <w:div w:id="1347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110">
      <w:bodyDiv w:val="1"/>
      <w:marLeft w:val="0"/>
      <w:marRight w:val="0"/>
      <w:marTop w:val="0"/>
      <w:marBottom w:val="0"/>
      <w:divBdr>
        <w:top w:val="none" w:sz="0" w:space="0" w:color="auto"/>
        <w:left w:val="none" w:sz="0" w:space="0" w:color="auto"/>
        <w:bottom w:val="none" w:sz="0" w:space="0" w:color="auto"/>
        <w:right w:val="none" w:sz="0" w:space="0" w:color="auto"/>
      </w:divBdr>
      <w:divsChild>
        <w:div w:id="1252347231">
          <w:marLeft w:val="0"/>
          <w:marRight w:val="0"/>
          <w:marTop w:val="0"/>
          <w:marBottom w:val="0"/>
          <w:divBdr>
            <w:top w:val="none" w:sz="0" w:space="0" w:color="auto"/>
            <w:left w:val="none" w:sz="0" w:space="0" w:color="auto"/>
            <w:bottom w:val="none" w:sz="0" w:space="0" w:color="auto"/>
            <w:right w:val="none" w:sz="0" w:space="0" w:color="auto"/>
          </w:divBdr>
        </w:div>
        <w:div w:id="1220705121">
          <w:marLeft w:val="0"/>
          <w:marRight w:val="0"/>
          <w:marTop w:val="0"/>
          <w:marBottom w:val="0"/>
          <w:divBdr>
            <w:top w:val="none" w:sz="0" w:space="0" w:color="auto"/>
            <w:left w:val="none" w:sz="0" w:space="0" w:color="auto"/>
            <w:bottom w:val="none" w:sz="0" w:space="0" w:color="auto"/>
            <w:right w:val="none" w:sz="0" w:space="0" w:color="auto"/>
          </w:divBdr>
        </w:div>
        <w:div w:id="1762678138">
          <w:marLeft w:val="0"/>
          <w:marRight w:val="0"/>
          <w:marTop w:val="0"/>
          <w:marBottom w:val="0"/>
          <w:divBdr>
            <w:top w:val="none" w:sz="0" w:space="0" w:color="auto"/>
            <w:left w:val="none" w:sz="0" w:space="0" w:color="auto"/>
            <w:bottom w:val="none" w:sz="0" w:space="0" w:color="auto"/>
            <w:right w:val="none" w:sz="0" w:space="0" w:color="auto"/>
          </w:divBdr>
          <w:divsChild>
            <w:div w:id="1605531446">
              <w:marLeft w:val="0"/>
              <w:marRight w:val="0"/>
              <w:marTop w:val="0"/>
              <w:marBottom w:val="0"/>
              <w:divBdr>
                <w:top w:val="none" w:sz="0" w:space="0" w:color="auto"/>
                <w:left w:val="none" w:sz="0" w:space="0" w:color="auto"/>
                <w:bottom w:val="none" w:sz="0" w:space="0" w:color="auto"/>
                <w:right w:val="none" w:sz="0" w:space="0" w:color="auto"/>
              </w:divBdr>
            </w:div>
            <w:div w:id="2145807968">
              <w:marLeft w:val="0"/>
              <w:marRight w:val="0"/>
              <w:marTop w:val="0"/>
              <w:marBottom w:val="0"/>
              <w:divBdr>
                <w:top w:val="none" w:sz="0" w:space="0" w:color="auto"/>
                <w:left w:val="none" w:sz="0" w:space="0" w:color="auto"/>
                <w:bottom w:val="none" w:sz="0" w:space="0" w:color="auto"/>
                <w:right w:val="none" w:sz="0" w:space="0" w:color="auto"/>
              </w:divBdr>
            </w:div>
            <w:div w:id="1921795171">
              <w:marLeft w:val="0"/>
              <w:marRight w:val="0"/>
              <w:marTop w:val="0"/>
              <w:marBottom w:val="0"/>
              <w:divBdr>
                <w:top w:val="none" w:sz="0" w:space="0" w:color="auto"/>
                <w:left w:val="none" w:sz="0" w:space="0" w:color="auto"/>
                <w:bottom w:val="none" w:sz="0" w:space="0" w:color="auto"/>
                <w:right w:val="none" w:sz="0" w:space="0" w:color="auto"/>
              </w:divBdr>
            </w:div>
            <w:div w:id="8196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0646">
      <w:bodyDiv w:val="1"/>
      <w:marLeft w:val="0"/>
      <w:marRight w:val="0"/>
      <w:marTop w:val="0"/>
      <w:marBottom w:val="0"/>
      <w:divBdr>
        <w:top w:val="none" w:sz="0" w:space="0" w:color="auto"/>
        <w:left w:val="none" w:sz="0" w:space="0" w:color="auto"/>
        <w:bottom w:val="none" w:sz="0" w:space="0" w:color="auto"/>
        <w:right w:val="none" w:sz="0" w:space="0" w:color="auto"/>
      </w:divBdr>
      <w:divsChild>
        <w:div w:id="938685342">
          <w:marLeft w:val="0"/>
          <w:marRight w:val="0"/>
          <w:marTop w:val="0"/>
          <w:marBottom w:val="0"/>
          <w:divBdr>
            <w:top w:val="none" w:sz="0" w:space="0" w:color="auto"/>
            <w:left w:val="none" w:sz="0" w:space="0" w:color="auto"/>
            <w:bottom w:val="none" w:sz="0" w:space="0" w:color="auto"/>
            <w:right w:val="none" w:sz="0" w:space="0" w:color="auto"/>
          </w:divBdr>
        </w:div>
      </w:divsChild>
    </w:div>
    <w:div w:id="1161964553">
      <w:bodyDiv w:val="1"/>
      <w:marLeft w:val="0"/>
      <w:marRight w:val="0"/>
      <w:marTop w:val="0"/>
      <w:marBottom w:val="0"/>
      <w:divBdr>
        <w:top w:val="none" w:sz="0" w:space="0" w:color="auto"/>
        <w:left w:val="none" w:sz="0" w:space="0" w:color="auto"/>
        <w:bottom w:val="none" w:sz="0" w:space="0" w:color="auto"/>
        <w:right w:val="none" w:sz="0" w:space="0" w:color="auto"/>
      </w:divBdr>
    </w:div>
    <w:div w:id="1270314581">
      <w:bodyDiv w:val="1"/>
      <w:marLeft w:val="0"/>
      <w:marRight w:val="0"/>
      <w:marTop w:val="0"/>
      <w:marBottom w:val="0"/>
      <w:divBdr>
        <w:top w:val="none" w:sz="0" w:space="0" w:color="auto"/>
        <w:left w:val="none" w:sz="0" w:space="0" w:color="auto"/>
        <w:bottom w:val="none" w:sz="0" w:space="0" w:color="auto"/>
        <w:right w:val="none" w:sz="0" w:space="0" w:color="auto"/>
      </w:divBdr>
      <w:divsChild>
        <w:div w:id="584455174">
          <w:marLeft w:val="0"/>
          <w:marRight w:val="0"/>
          <w:marTop w:val="0"/>
          <w:marBottom w:val="0"/>
          <w:divBdr>
            <w:top w:val="none" w:sz="0" w:space="0" w:color="auto"/>
            <w:left w:val="none" w:sz="0" w:space="0" w:color="auto"/>
            <w:bottom w:val="none" w:sz="0" w:space="0" w:color="auto"/>
            <w:right w:val="none" w:sz="0" w:space="0" w:color="auto"/>
          </w:divBdr>
        </w:div>
        <w:div w:id="1005324246">
          <w:marLeft w:val="0"/>
          <w:marRight w:val="0"/>
          <w:marTop w:val="0"/>
          <w:marBottom w:val="0"/>
          <w:divBdr>
            <w:top w:val="none" w:sz="0" w:space="0" w:color="auto"/>
            <w:left w:val="none" w:sz="0" w:space="0" w:color="auto"/>
            <w:bottom w:val="none" w:sz="0" w:space="0" w:color="auto"/>
            <w:right w:val="none" w:sz="0" w:space="0" w:color="auto"/>
          </w:divBdr>
        </w:div>
        <w:div w:id="600526852">
          <w:marLeft w:val="0"/>
          <w:marRight w:val="0"/>
          <w:marTop w:val="0"/>
          <w:marBottom w:val="0"/>
          <w:divBdr>
            <w:top w:val="none" w:sz="0" w:space="0" w:color="auto"/>
            <w:left w:val="none" w:sz="0" w:space="0" w:color="auto"/>
            <w:bottom w:val="none" w:sz="0" w:space="0" w:color="auto"/>
            <w:right w:val="none" w:sz="0" w:space="0" w:color="auto"/>
          </w:divBdr>
          <w:divsChild>
            <w:div w:id="673922038">
              <w:marLeft w:val="0"/>
              <w:marRight w:val="0"/>
              <w:marTop w:val="0"/>
              <w:marBottom w:val="0"/>
              <w:divBdr>
                <w:top w:val="none" w:sz="0" w:space="0" w:color="auto"/>
                <w:left w:val="none" w:sz="0" w:space="0" w:color="auto"/>
                <w:bottom w:val="none" w:sz="0" w:space="0" w:color="auto"/>
                <w:right w:val="none" w:sz="0" w:space="0" w:color="auto"/>
              </w:divBdr>
            </w:div>
            <w:div w:id="1703818653">
              <w:marLeft w:val="0"/>
              <w:marRight w:val="0"/>
              <w:marTop w:val="0"/>
              <w:marBottom w:val="0"/>
              <w:divBdr>
                <w:top w:val="none" w:sz="0" w:space="0" w:color="auto"/>
                <w:left w:val="none" w:sz="0" w:space="0" w:color="auto"/>
                <w:bottom w:val="none" w:sz="0" w:space="0" w:color="auto"/>
                <w:right w:val="none" w:sz="0" w:space="0" w:color="auto"/>
              </w:divBdr>
            </w:div>
            <w:div w:id="1828980087">
              <w:marLeft w:val="0"/>
              <w:marRight w:val="0"/>
              <w:marTop w:val="0"/>
              <w:marBottom w:val="0"/>
              <w:divBdr>
                <w:top w:val="none" w:sz="0" w:space="0" w:color="auto"/>
                <w:left w:val="none" w:sz="0" w:space="0" w:color="auto"/>
                <w:bottom w:val="none" w:sz="0" w:space="0" w:color="auto"/>
                <w:right w:val="none" w:sz="0" w:space="0" w:color="auto"/>
              </w:divBdr>
            </w:div>
            <w:div w:id="606161388">
              <w:marLeft w:val="0"/>
              <w:marRight w:val="0"/>
              <w:marTop w:val="0"/>
              <w:marBottom w:val="0"/>
              <w:divBdr>
                <w:top w:val="none" w:sz="0" w:space="0" w:color="auto"/>
                <w:left w:val="none" w:sz="0" w:space="0" w:color="auto"/>
                <w:bottom w:val="none" w:sz="0" w:space="0" w:color="auto"/>
                <w:right w:val="none" w:sz="0" w:space="0" w:color="auto"/>
              </w:divBdr>
            </w:div>
            <w:div w:id="44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3471">
      <w:bodyDiv w:val="1"/>
      <w:marLeft w:val="0"/>
      <w:marRight w:val="0"/>
      <w:marTop w:val="0"/>
      <w:marBottom w:val="0"/>
      <w:divBdr>
        <w:top w:val="none" w:sz="0" w:space="0" w:color="auto"/>
        <w:left w:val="none" w:sz="0" w:space="0" w:color="auto"/>
        <w:bottom w:val="none" w:sz="0" w:space="0" w:color="auto"/>
        <w:right w:val="none" w:sz="0" w:space="0" w:color="auto"/>
      </w:divBdr>
      <w:divsChild>
        <w:div w:id="990864063">
          <w:marLeft w:val="0"/>
          <w:marRight w:val="0"/>
          <w:marTop w:val="0"/>
          <w:marBottom w:val="0"/>
          <w:divBdr>
            <w:top w:val="none" w:sz="0" w:space="0" w:color="auto"/>
            <w:left w:val="none" w:sz="0" w:space="0" w:color="auto"/>
            <w:bottom w:val="none" w:sz="0" w:space="0" w:color="auto"/>
            <w:right w:val="none" w:sz="0" w:space="0" w:color="auto"/>
          </w:divBdr>
        </w:div>
      </w:divsChild>
    </w:div>
    <w:div w:id="1284189950">
      <w:bodyDiv w:val="1"/>
      <w:marLeft w:val="0"/>
      <w:marRight w:val="0"/>
      <w:marTop w:val="0"/>
      <w:marBottom w:val="0"/>
      <w:divBdr>
        <w:top w:val="none" w:sz="0" w:space="0" w:color="auto"/>
        <w:left w:val="none" w:sz="0" w:space="0" w:color="auto"/>
        <w:bottom w:val="none" w:sz="0" w:space="0" w:color="auto"/>
        <w:right w:val="none" w:sz="0" w:space="0" w:color="auto"/>
      </w:divBdr>
      <w:divsChild>
        <w:div w:id="127286455">
          <w:marLeft w:val="0"/>
          <w:marRight w:val="0"/>
          <w:marTop w:val="0"/>
          <w:marBottom w:val="0"/>
          <w:divBdr>
            <w:top w:val="none" w:sz="0" w:space="0" w:color="auto"/>
            <w:left w:val="none" w:sz="0" w:space="0" w:color="auto"/>
            <w:bottom w:val="none" w:sz="0" w:space="0" w:color="auto"/>
            <w:right w:val="none" w:sz="0" w:space="0" w:color="auto"/>
          </w:divBdr>
        </w:div>
      </w:divsChild>
    </w:div>
    <w:div w:id="1342853316">
      <w:bodyDiv w:val="1"/>
      <w:marLeft w:val="0"/>
      <w:marRight w:val="0"/>
      <w:marTop w:val="0"/>
      <w:marBottom w:val="0"/>
      <w:divBdr>
        <w:top w:val="none" w:sz="0" w:space="0" w:color="auto"/>
        <w:left w:val="none" w:sz="0" w:space="0" w:color="auto"/>
        <w:bottom w:val="none" w:sz="0" w:space="0" w:color="auto"/>
        <w:right w:val="none" w:sz="0" w:space="0" w:color="auto"/>
      </w:divBdr>
      <w:divsChild>
        <w:div w:id="296451687">
          <w:marLeft w:val="0"/>
          <w:marRight w:val="0"/>
          <w:marTop w:val="0"/>
          <w:marBottom w:val="0"/>
          <w:divBdr>
            <w:top w:val="none" w:sz="0" w:space="0" w:color="auto"/>
            <w:left w:val="none" w:sz="0" w:space="0" w:color="auto"/>
            <w:bottom w:val="none" w:sz="0" w:space="0" w:color="auto"/>
            <w:right w:val="none" w:sz="0" w:space="0" w:color="auto"/>
          </w:divBdr>
        </w:div>
      </w:divsChild>
    </w:div>
    <w:div w:id="1512642083">
      <w:bodyDiv w:val="1"/>
      <w:marLeft w:val="0"/>
      <w:marRight w:val="0"/>
      <w:marTop w:val="0"/>
      <w:marBottom w:val="0"/>
      <w:divBdr>
        <w:top w:val="none" w:sz="0" w:space="0" w:color="auto"/>
        <w:left w:val="none" w:sz="0" w:space="0" w:color="auto"/>
        <w:bottom w:val="none" w:sz="0" w:space="0" w:color="auto"/>
        <w:right w:val="none" w:sz="0" w:space="0" w:color="auto"/>
      </w:divBdr>
      <w:divsChild>
        <w:div w:id="2125995629">
          <w:marLeft w:val="0"/>
          <w:marRight w:val="0"/>
          <w:marTop w:val="0"/>
          <w:marBottom w:val="0"/>
          <w:divBdr>
            <w:top w:val="none" w:sz="0" w:space="0" w:color="auto"/>
            <w:left w:val="none" w:sz="0" w:space="0" w:color="auto"/>
            <w:bottom w:val="none" w:sz="0" w:space="0" w:color="auto"/>
            <w:right w:val="none" w:sz="0" w:space="0" w:color="auto"/>
          </w:divBdr>
        </w:div>
      </w:divsChild>
    </w:div>
    <w:div w:id="1762481035">
      <w:bodyDiv w:val="1"/>
      <w:marLeft w:val="0"/>
      <w:marRight w:val="0"/>
      <w:marTop w:val="0"/>
      <w:marBottom w:val="0"/>
      <w:divBdr>
        <w:top w:val="none" w:sz="0" w:space="0" w:color="auto"/>
        <w:left w:val="none" w:sz="0" w:space="0" w:color="auto"/>
        <w:bottom w:val="none" w:sz="0" w:space="0" w:color="auto"/>
        <w:right w:val="none" w:sz="0" w:space="0" w:color="auto"/>
      </w:divBdr>
      <w:divsChild>
        <w:div w:id="344668944">
          <w:marLeft w:val="0"/>
          <w:marRight w:val="0"/>
          <w:marTop w:val="0"/>
          <w:marBottom w:val="0"/>
          <w:divBdr>
            <w:top w:val="none" w:sz="0" w:space="0" w:color="auto"/>
            <w:left w:val="none" w:sz="0" w:space="0" w:color="auto"/>
            <w:bottom w:val="none" w:sz="0" w:space="0" w:color="auto"/>
            <w:right w:val="none" w:sz="0" w:space="0" w:color="auto"/>
          </w:divBdr>
        </w:div>
      </w:divsChild>
    </w:div>
    <w:div w:id="1896312121">
      <w:bodyDiv w:val="1"/>
      <w:marLeft w:val="0"/>
      <w:marRight w:val="0"/>
      <w:marTop w:val="0"/>
      <w:marBottom w:val="0"/>
      <w:divBdr>
        <w:top w:val="none" w:sz="0" w:space="0" w:color="auto"/>
        <w:left w:val="none" w:sz="0" w:space="0" w:color="auto"/>
        <w:bottom w:val="none" w:sz="0" w:space="0" w:color="auto"/>
        <w:right w:val="none" w:sz="0" w:space="0" w:color="auto"/>
      </w:divBdr>
    </w:div>
    <w:div w:id="2006204896">
      <w:bodyDiv w:val="1"/>
      <w:marLeft w:val="0"/>
      <w:marRight w:val="0"/>
      <w:marTop w:val="0"/>
      <w:marBottom w:val="0"/>
      <w:divBdr>
        <w:top w:val="none" w:sz="0" w:space="0" w:color="auto"/>
        <w:left w:val="none" w:sz="0" w:space="0" w:color="auto"/>
        <w:bottom w:val="none" w:sz="0" w:space="0" w:color="auto"/>
        <w:right w:val="none" w:sz="0" w:space="0" w:color="auto"/>
      </w:divBdr>
      <w:divsChild>
        <w:div w:id="1927610860">
          <w:marLeft w:val="0"/>
          <w:marRight w:val="0"/>
          <w:marTop w:val="0"/>
          <w:marBottom w:val="0"/>
          <w:divBdr>
            <w:top w:val="none" w:sz="0" w:space="0" w:color="auto"/>
            <w:left w:val="none" w:sz="0" w:space="0" w:color="auto"/>
            <w:bottom w:val="none" w:sz="0" w:space="0" w:color="auto"/>
            <w:right w:val="none" w:sz="0" w:space="0" w:color="auto"/>
          </w:divBdr>
        </w:div>
        <w:div w:id="1448506922">
          <w:marLeft w:val="0"/>
          <w:marRight w:val="0"/>
          <w:marTop w:val="0"/>
          <w:marBottom w:val="0"/>
          <w:divBdr>
            <w:top w:val="none" w:sz="0" w:space="0" w:color="auto"/>
            <w:left w:val="none" w:sz="0" w:space="0" w:color="auto"/>
            <w:bottom w:val="none" w:sz="0" w:space="0" w:color="auto"/>
            <w:right w:val="none" w:sz="0" w:space="0" w:color="auto"/>
          </w:divBdr>
        </w:div>
        <w:div w:id="1221790113">
          <w:marLeft w:val="0"/>
          <w:marRight w:val="0"/>
          <w:marTop w:val="0"/>
          <w:marBottom w:val="0"/>
          <w:divBdr>
            <w:top w:val="none" w:sz="0" w:space="0" w:color="auto"/>
            <w:left w:val="none" w:sz="0" w:space="0" w:color="auto"/>
            <w:bottom w:val="none" w:sz="0" w:space="0" w:color="auto"/>
            <w:right w:val="none" w:sz="0" w:space="0" w:color="auto"/>
          </w:divBdr>
          <w:divsChild>
            <w:div w:id="1238590332">
              <w:marLeft w:val="0"/>
              <w:marRight w:val="0"/>
              <w:marTop w:val="0"/>
              <w:marBottom w:val="0"/>
              <w:divBdr>
                <w:top w:val="none" w:sz="0" w:space="0" w:color="auto"/>
                <w:left w:val="none" w:sz="0" w:space="0" w:color="auto"/>
                <w:bottom w:val="none" w:sz="0" w:space="0" w:color="auto"/>
                <w:right w:val="none" w:sz="0" w:space="0" w:color="auto"/>
              </w:divBdr>
            </w:div>
            <w:div w:id="1124158862">
              <w:marLeft w:val="0"/>
              <w:marRight w:val="0"/>
              <w:marTop w:val="0"/>
              <w:marBottom w:val="0"/>
              <w:divBdr>
                <w:top w:val="none" w:sz="0" w:space="0" w:color="auto"/>
                <w:left w:val="none" w:sz="0" w:space="0" w:color="auto"/>
                <w:bottom w:val="none" w:sz="0" w:space="0" w:color="auto"/>
                <w:right w:val="none" w:sz="0" w:space="0" w:color="auto"/>
              </w:divBdr>
            </w:div>
            <w:div w:id="1753892010">
              <w:marLeft w:val="0"/>
              <w:marRight w:val="0"/>
              <w:marTop w:val="0"/>
              <w:marBottom w:val="0"/>
              <w:divBdr>
                <w:top w:val="none" w:sz="0" w:space="0" w:color="auto"/>
                <w:left w:val="none" w:sz="0" w:space="0" w:color="auto"/>
                <w:bottom w:val="none" w:sz="0" w:space="0" w:color="auto"/>
                <w:right w:val="none" w:sz="0" w:space="0" w:color="auto"/>
              </w:divBdr>
            </w:div>
            <w:div w:id="10343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csisupport.gov.au/support/proda" TargetMode="External"/><Relationship Id="rId18" Type="http://schemas.openxmlformats.org/officeDocument/2006/relationships/image" Target="media/image3.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844544B22F42B6A4D8E1DF974CD2CB"/>
        <w:category>
          <w:name w:val="General"/>
          <w:gallery w:val="placeholder"/>
        </w:category>
        <w:types>
          <w:type w:val="bbPlcHdr"/>
        </w:types>
        <w:behaviors>
          <w:behavior w:val="content"/>
        </w:behaviors>
        <w:guid w:val="{9CF31764-8946-4E39-B067-C89951C275FE}"/>
      </w:docPartPr>
      <w:docPartBody>
        <w:p w:rsidR="009049B4" w:rsidRDefault="009049B4" w:rsidP="009049B4">
          <w:pPr>
            <w:pStyle w:val="E7844544B22F42B6A4D8E1DF974CD2CB"/>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B4"/>
    <w:rsid w:val="001B6314"/>
    <w:rsid w:val="00362616"/>
    <w:rsid w:val="00904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9B4"/>
    <w:rPr>
      <w:color w:val="808080"/>
    </w:rPr>
  </w:style>
  <w:style w:type="paragraph" w:customStyle="1" w:styleId="E7844544B22F42B6A4D8E1DF974CD2CB">
    <w:name w:val="E7844544B22F42B6A4D8E1DF974CD2CB"/>
    <w:rsid w:val="009049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7T20:56:07.300"/>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7T20:55:21.21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4BCE-8B95-4864-A5C7-C6619479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1509</Words>
  <Characters>8376</Characters>
  <Application>Microsoft Office Word</Application>
  <DocSecurity>0</DocSecurity>
  <Lines>174</Lines>
  <Paragraphs>85</Paragraphs>
  <ScaleCrop>false</ScaleCrop>
  <HeadingPairs>
    <vt:vector size="2" baseType="variant">
      <vt:variant>
        <vt:lpstr>Title</vt:lpstr>
      </vt:variant>
      <vt:variant>
        <vt:i4>1</vt:i4>
      </vt:variant>
    </vt:vector>
  </HeadingPairs>
  <TitlesOfParts>
    <vt:vector size="1" baseType="lpstr">
      <vt:lpstr>Expected Trends Dashboard User Guide</vt:lpstr>
    </vt:vector>
  </TitlesOfParts>
  <Company>Australian Government</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Expected Trends Dashboard User Guide</dc:title>
  <dc:subject/>
  <dc:creator>UniStats</dc:creator>
  <cp:keywords/>
  <dc:description/>
  <cp:lastModifiedBy>MAYBERRY,Anna</cp:lastModifiedBy>
  <cp:revision>7</cp:revision>
  <dcterms:created xsi:type="dcterms:W3CDTF">2025-05-08T03:51:00Z</dcterms:created>
  <dcterms:modified xsi:type="dcterms:W3CDTF">2025-05-08T03:56:00Z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2024-12-18T04:54:55Z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5f4cbad1-8a26-456d-a2c1-3263291d8d4c</vt:lpwstr>
  </property>
  <property fmtid="{D5CDD505-2E9C-101B-9397-08002B2CF9AE}" pid="8" name="MSIP_Label_79d889eb-932f-4752-8739-64d25806ef64_ContentBits">
    <vt:lpwstr>0</vt:lpwstr>
  </property>
</Properties>
</file>